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Century Gothic" w:hAnsi="Century Gothic"/>
          <w:sz w:val="24"/>
          <w:szCs w:val="24"/>
        </w:rPr>
        <w:id w:val="-574895032"/>
        <w:docPartObj>
          <w:docPartGallery w:val="Cover Pages"/>
          <w:docPartUnique/>
        </w:docPartObj>
      </w:sdtPr>
      <w:sdtEndPr>
        <w:rPr>
          <w:rFonts w:cs="Times New Roman"/>
          <w:b/>
          <w:lang w:val="es-HN"/>
        </w:rPr>
      </w:sdtEndPr>
      <w:sdtContent>
        <w:p w:rsidR="00616373" w:rsidRPr="00AF2D87" w:rsidRDefault="00AF2D87">
          <w:pPr>
            <w:rPr>
              <w:rFonts w:ascii="Century Gothic" w:hAnsi="Century Gothic"/>
              <w:sz w:val="52"/>
              <w:szCs w:val="52"/>
            </w:rPr>
          </w:pPr>
          <w:r>
            <w:rPr>
              <w:rFonts w:ascii="Century Gothic" w:hAnsi="Century Gothic"/>
              <w:noProof/>
              <w:sz w:val="52"/>
              <w:szCs w:val="52"/>
              <w:lang w:val="es-HN" w:eastAsia="es-HN"/>
            </w:rPr>
            <w:t>NOVIEMBRE, 2020</w:t>
          </w:r>
          <w:bookmarkStart w:id="0" w:name="_GoBack"/>
          <w:bookmarkEnd w:id="0"/>
          <w:r w:rsidRPr="00AF2D87">
            <w:rPr>
              <w:rFonts w:ascii="Century Gothic" w:hAnsi="Century Gothic"/>
              <w:noProof/>
              <w:sz w:val="52"/>
              <w:szCs w:val="52"/>
              <w:lang w:val="es-HN" w:eastAsia="es-HN"/>
            </w:rPr>
            <w:t xml:space="preserve"> </w:t>
          </w:r>
          <w:r w:rsidR="00616373" w:rsidRPr="00AF2D87">
            <w:rPr>
              <w:rFonts w:ascii="Century Gothic" w:hAnsi="Century Gothic"/>
              <w:noProof/>
              <w:sz w:val="52"/>
              <w:szCs w:val="52"/>
              <w:lang w:val="es-HN" w:eastAsia="es-HN"/>
            </w:rPr>
            <mc:AlternateContent>
              <mc:Choice Requires="wpg">
                <w:drawing>
                  <wp:anchor distT="0" distB="0" distL="114300" distR="114300" simplePos="0" relativeHeight="251661312" behindDoc="1" locked="0" layoutInCell="1" allowOverlap="1">
                    <wp:simplePos x="0" y="0"/>
                    <wp:positionH relativeFrom="margin">
                      <wp:align>center</wp:align>
                    </wp:positionH>
                    <wp:positionV relativeFrom="margin">
                      <wp:align>center</wp:align>
                    </wp:positionV>
                    <wp:extent cx="6864824" cy="9123528"/>
                    <wp:effectExtent l="0" t="0" r="0" b="0"/>
                    <wp:wrapNone/>
                    <wp:docPr id="193" name="Grupo 193"/>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ángulo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16373" w:rsidRDefault="00AF2D87" w:rsidP="00616373">
                                  <w:pPr>
                                    <w:spacing w:after="0" w:line="240" w:lineRule="auto"/>
                                    <w:jc w:val="center"/>
                                    <w:rPr>
                                      <w:rFonts w:ascii="Times New Roman" w:hAnsi="Times New Roman" w:cs="Times New Roman"/>
                                      <w:b/>
                                      <w:sz w:val="72"/>
                                      <w:szCs w:val="72"/>
                                      <w:lang w:val="es-HN"/>
                                    </w:rPr>
                                  </w:pPr>
                                  <w:r w:rsidRPr="00AF2D87">
                                    <w:drawing>
                                      <wp:inline distT="0" distB="0" distL="0" distR="0">
                                        <wp:extent cx="1847850" cy="14668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47850" cy="1466850"/>
                                                </a:xfrm>
                                                <a:prstGeom prst="rect">
                                                  <a:avLst/>
                                                </a:prstGeom>
                                                <a:noFill/>
                                                <a:ln>
                                                  <a:noFill/>
                                                </a:ln>
                                              </pic:spPr>
                                            </pic:pic>
                                          </a:graphicData>
                                        </a:graphic>
                                      </wp:inline>
                                    </w:drawing>
                                  </w:r>
                                  <w:r w:rsidRPr="00AF2D87">
                                    <w:t xml:space="preserve"> </w:t>
                                  </w:r>
                                  <w:r w:rsidR="00616373" w:rsidRPr="00616373">
                                    <w:rPr>
                                      <w:noProof/>
                                      <w:lang w:val="es-HN" w:eastAsia="es-HN"/>
                                    </w:rPr>
                                    <w:drawing>
                                      <wp:inline distT="0" distB="0" distL="0" distR="0">
                                        <wp:extent cx="5172075" cy="292417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72075" cy="2924175"/>
                                                </a:xfrm>
                                                <a:prstGeom prst="rect">
                                                  <a:avLst/>
                                                </a:prstGeom>
                                                <a:noFill/>
                                                <a:ln>
                                                  <a:noFill/>
                                                </a:ln>
                                              </pic:spPr>
                                            </pic:pic>
                                          </a:graphicData>
                                        </a:graphic>
                                      </wp:inline>
                                    </w:drawing>
                                  </w:r>
                                </w:p>
                                <w:p w:rsidR="00616373" w:rsidRDefault="00616373" w:rsidP="00616373">
                                  <w:pPr>
                                    <w:pStyle w:val="Sinespaciado"/>
                                    <w:spacing w:before="120"/>
                                    <w:jc w:val="center"/>
                                    <w:rPr>
                                      <w:color w:val="FFFFFF" w:themeColor="background1"/>
                                    </w:rPr>
                                  </w:pPr>
                                  <w:r>
                                    <w:rPr>
                                      <w:color w:val="FFFFFF" w:themeColor="background1"/>
                                      <w:lang w:val="es-ES"/>
                                    </w:rPr>
                                    <w:t>  </w:t>
                                  </w:r>
                                  <w:sdt>
                                    <w:sdtPr>
                                      <w:rPr>
                                        <w:color w:val="FFFFFF" w:themeColor="background1"/>
                                      </w:rPr>
                                      <w:alias w:val="Dirección"/>
                                      <w:tag w:val=""/>
                                      <w:id w:val="-253358678"/>
                                      <w:showingPlcHdr/>
                                      <w:dataBinding w:prefixMappings="xmlns:ns0='http://schemas.microsoft.com/office/2006/coverPageProps' " w:xpath="/ns0:CoverPageProperties[1]/ns0:CompanyAddress[1]" w:storeItemID="{55AF091B-3C7A-41E3-B477-F2FDAA23CFDA}"/>
                                      <w:text/>
                                    </w:sdtPr>
                                    <w:sdtEndPr/>
                                    <w:sdtContent>
                                      <w:r>
                                        <w:rPr>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Cuadro de texto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imes New Roman" w:eastAsiaTheme="minorHAnsi" w:hAnsi="Times New Roman" w:cs="Times New Roman"/>
                                      <w:b/>
                                      <w:sz w:val="52"/>
                                      <w:szCs w:val="52"/>
                                      <w:lang w:eastAsia="en-US"/>
                                    </w:rPr>
                                    <w:alias w:val="Título"/>
                                    <w:tag w:val=""/>
                                    <w:id w:val="-9991715"/>
                                    <w:dataBinding w:prefixMappings="xmlns:ns0='http://purl.org/dc/elements/1.1/' xmlns:ns1='http://schemas.openxmlformats.org/package/2006/metadata/core-properties' " w:xpath="/ns1:coreProperties[1]/ns0:title[1]" w:storeItemID="{6C3C8BC8-F283-45AE-878A-BAB7291924A1}"/>
                                    <w:text/>
                                  </w:sdtPr>
                                  <w:sdtEndPr/>
                                  <w:sdtContent>
                                    <w:p w:rsidR="00616373" w:rsidRDefault="00AF2D87" w:rsidP="00616373">
                                      <w:pPr>
                                        <w:pStyle w:val="Sinespaciado"/>
                                        <w:jc w:val="center"/>
                                        <w:rPr>
                                          <w:rFonts w:asciiTheme="majorHAnsi" w:eastAsiaTheme="majorEastAsia" w:hAnsiTheme="majorHAnsi" w:cstheme="majorBidi"/>
                                          <w:caps/>
                                          <w:color w:val="5B9BD5" w:themeColor="accent1"/>
                                          <w:sz w:val="72"/>
                                          <w:szCs w:val="72"/>
                                        </w:rPr>
                                      </w:pPr>
                                      <w:r>
                                        <w:rPr>
                                          <w:rFonts w:ascii="Times New Roman" w:eastAsiaTheme="minorHAnsi" w:hAnsi="Times New Roman" w:cs="Times New Roman"/>
                                          <w:b/>
                                          <w:sz w:val="52"/>
                                          <w:szCs w:val="52"/>
                                          <w:lang w:eastAsia="en-US"/>
                                        </w:rPr>
                                        <w:t>INFORME</w:t>
                                      </w:r>
                                      <w:r w:rsidR="00616373" w:rsidRPr="00616373">
                                        <w:rPr>
                                          <w:rFonts w:ascii="Times New Roman" w:eastAsiaTheme="minorHAnsi" w:hAnsi="Times New Roman" w:cs="Times New Roman"/>
                                          <w:b/>
                                          <w:sz w:val="52"/>
                                          <w:szCs w:val="52"/>
                                          <w:lang w:eastAsia="en-US"/>
                                        </w:rPr>
                                        <w:t xml:space="preserve">            </w:t>
                                      </w:r>
                                      <w:r w:rsidR="00616373">
                                        <w:rPr>
                                          <w:rFonts w:ascii="Times New Roman" w:eastAsiaTheme="minorHAnsi" w:hAnsi="Times New Roman" w:cs="Times New Roman"/>
                                          <w:b/>
                                          <w:sz w:val="52"/>
                                          <w:szCs w:val="52"/>
                                          <w:lang w:eastAsia="en-US"/>
                                        </w:rPr>
                                        <w:t xml:space="preserve">                   </w:t>
                                      </w:r>
                                      <w:r w:rsidR="00616373" w:rsidRPr="00616373">
                                        <w:rPr>
                                          <w:rFonts w:ascii="Times New Roman" w:eastAsiaTheme="minorHAnsi" w:hAnsi="Times New Roman" w:cs="Times New Roman"/>
                                          <w:b/>
                                          <w:sz w:val="52"/>
                                          <w:szCs w:val="52"/>
                                          <w:lang w:eastAsia="en-US"/>
                                        </w:rPr>
                                        <w:t xml:space="preserve">VEEDURIA SOCIAL ALBERGUES EN ATENCION A DAMNIFICADOS POR </w:t>
                                      </w:r>
                                      <w:r>
                                        <w:rPr>
                                          <w:rFonts w:ascii="Times New Roman" w:eastAsiaTheme="minorHAnsi" w:hAnsi="Times New Roman" w:cs="Times New Roman"/>
                                          <w:b/>
                                          <w:sz w:val="52"/>
                                          <w:szCs w:val="52"/>
                                          <w:lang w:eastAsia="en-US"/>
                                        </w:rPr>
                                        <w:t xml:space="preserve">FENOMENOS NATURALES </w:t>
                                      </w:r>
                                      <w:r w:rsidR="00616373" w:rsidRPr="00616373">
                                        <w:rPr>
                                          <w:rFonts w:ascii="Times New Roman" w:eastAsiaTheme="minorHAnsi" w:hAnsi="Times New Roman" w:cs="Times New Roman"/>
                                          <w:b/>
                                          <w:sz w:val="52"/>
                                          <w:szCs w:val="52"/>
                                          <w:lang w:eastAsia="en-US"/>
                                        </w:rPr>
                                        <w:t>ETA E IOTA</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id="Grupo 193" o:spid="_x0000_s1026" style="position:absolute;margin-left:0;margin-top:0;width:540.55pt;height:718.4pt;z-index:-251655168;mso-width-percent:882;mso-height-percent:909;mso-position-horizontal:center;mso-position-horizontal-relative:margin;mso-position-vertical:center;mso-position-vertical-relative:margin;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">
                    <v:rect id="Rectángulo 194" o:spid="_x0000_s1027" style="position:absolute;width:6858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6RtcQA&#10;AADcAAAADwAAAGRycy9kb3ducmV2LnhtbERPTWvCQBC9C/0PyxR6M5tWaTW6ighCERFM68HbkJ1m&#10;02ZnQ3Ybo7/eFQq9zeN9znzZ21p01PrKsYLnJAVBXDhdcang82MznIDwAVlj7ZgUXMjDcvEwmGOm&#10;3ZkP1OWhFDGEfYYKTAhNJqUvDFn0iWuII/flWoshwraUusVzDLe1fEnTV2mx4thgsKG1oeIn/7UK&#10;tt9vo9x0q+462tPRuOPutFl7pZ4e+9UMRKA+/Iv/3O86zp+O4f5Mv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kbXEAAAA3AAAAA8AAAAAAAAAAAAAAAAAmAIAAGRycy9k&#10;b3ducmV2LnhtbFBLBQYAAAAABAAEAPUAAACJAwAAAAA=&#10;" fillcolor="#5b9bd5 [3204]" stroked="f" strokeweight="1pt"/>
                    <v:rect id="Rectángulo 195" o:spid="_x0000_s1028" style="position:absolute;top:40943;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Qg8QA&#10;AADcAAAADwAAAGRycy9kb3ducmV2LnhtbERPTWvCQBC9C/0PyxS8FN0obampq4gi1CLFxly8jdlp&#10;NpidDdlV47/vFgre5vE+ZzrvbC0u1PrKsYLRMAFBXDhdcakg368HbyB8QNZYOyYFN/Iwnz30pphq&#10;d+VvumShFDGEfYoKTAhNKqUvDFn0Q9cQR+7HtRZDhG0pdYvXGG5rOU6SV2mx4thgsKGloeKUna2C&#10;LF/lRwrPk8+vw8bt8iez2447pfqP3eIdRKAu3MX/7g8d509e4O+ZeIG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kIPEAAAA3AAAAA8AAAAAAAAAAAAAAAAAmAIAAGRycy9k&#10;b3ducmV2LnhtbFBLBQYAAAAABAAEAPUAAACJAwAAAAA=&#10;" fillcolor="#5b9bd5 [3204]" stroked="f" strokeweight="1pt">
                      <v:textbox inset="36pt,57.6pt,36pt,36pt">
                        <w:txbxContent>
                          <w:p w:rsidR="00616373" w:rsidRDefault="00AF2D87" w:rsidP="00616373">
                            <w:pPr>
                              <w:spacing w:after="0" w:line="240" w:lineRule="auto"/>
                              <w:jc w:val="center"/>
                              <w:rPr>
                                <w:rFonts w:ascii="Times New Roman" w:hAnsi="Times New Roman" w:cs="Times New Roman"/>
                                <w:b/>
                                <w:sz w:val="72"/>
                                <w:szCs w:val="72"/>
                                <w:lang w:val="es-HN"/>
                              </w:rPr>
                            </w:pPr>
                            <w:r w:rsidRPr="00AF2D87">
                              <w:drawing>
                                <wp:inline distT="0" distB="0" distL="0" distR="0">
                                  <wp:extent cx="1847850" cy="14668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47850" cy="1466850"/>
                                          </a:xfrm>
                                          <a:prstGeom prst="rect">
                                            <a:avLst/>
                                          </a:prstGeom>
                                          <a:noFill/>
                                          <a:ln>
                                            <a:noFill/>
                                          </a:ln>
                                        </pic:spPr>
                                      </pic:pic>
                                    </a:graphicData>
                                  </a:graphic>
                                </wp:inline>
                              </w:drawing>
                            </w:r>
                            <w:r w:rsidRPr="00AF2D87">
                              <w:t xml:space="preserve"> </w:t>
                            </w:r>
                            <w:r w:rsidR="00616373" w:rsidRPr="00616373">
                              <w:rPr>
                                <w:noProof/>
                                <w:lang w:val="es-HN" w:eastAsia="es-HN"/>
                              </w:rPr>
                              <w:drawing>
                                <wp:inline distT="0" distB="0" distL="0" distR="0">
                                  <wp:extent cx="5172075" cy="292417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72075" cy="2924175"/>
                                          </a:xfrm>
                                          <a:prstGeom prst="rect">
                                            <a:avLst/>
                                          </a:prstGeom>
                                          <a:noFill/>
                                          <a:ln>
                                            <a:noFill/>
                                          </a:ln>
                                        </pic:spPr>
                                      </pic:pic>
                                    </a:graphicData>
                                  </a:graphic>
                                </wp:inline>
                              </w:drawing>
                            </w:r>
                          </w:p>
                          <w:p w:rsidR="00616373" w:rsidRDefault="00616373" w:rsidP="00616373">
                            <w:pPr>
                              <w:pStyle w:val="Sinespaciado"/>
                              <w:spacing w:before="120"/>
                              <w:jc w:val="center"/>
                              <w:rPr>
                                <w:color w:val="FFFFFF" w:themeColor="background1"/>
                              </w:rPr>
                            </w:pPr>
                            <w:r>
                              <w:rPr>
                                <w:color w:val="FFFFFF" w:themeColor="background1"/>
                                <w:lang w:val="es-ES"/>
                              </w:rPr>
                              <w:t>  </w:t>
                            </w:r>
                            <w:sdt>
                              <w:sdtPr>
                                <w:rPr>
                                  <w:color w:val="FFFFFF" w:themeColor="background1"/>
                                </w:rPr>
                                <w:alias w:val="Dirección"/>
                                <w:tag w:val=""/>
                                <w:id w:val="-253358678"/>
                                <w:showingPlcHdr/>
                                <w:dataBinding w:prefixMappings="xmlns:ns0='http://schemas.microsoft.com/office/2006/coverPageProps' " w:xpath="/ns0:CoverPageProperties[1]/ns0:CompanyAddress[1]" w:storeItemID="{55AF091B-3C7A-41E3-B477-F2FDAA23CFDA}"/>
                                <w:text/>
                              </w:sdtPr>
                              <w:sdtEndPr/>
                              <w:sdtContent>
                                <w:r>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Cuadro de texto 196" o:spid="_x0000_s1029" type="#_x0000_t202" style="position:absolute;left:68;top:13716;width:68580;height:2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qsIA&#10;AADcAAAADwAAAGRycy9kb3ducmV2LnhtbERPS4vCMBC+C/6HMIIXWdO1oGs1ig/E9aguLN6GZmyL&#10;zaTbRK3/3ggL3ubje8503phS3Kh2hWUFn/0IBHFqdcGZgp/j5uMLhPPIGkvLpOBBDuazdmuKibZ3&#10;3tPt4DMRQtglqCD3vkqkdGlOBl3fVsSBO9vaoA+wzqSu8R7CTSkHUTSUBgsODTlWtMopvRyuRsF4&#10;6fdx7/cUV9s/s8bsujvGo5NS3U6zmIDw1Pi3+N/9rcP88RBez4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OqwgAAANwAAAAPAAAAAAAAAAAAAAAAAJgCAABkcnMvZG93&#10;bnJldi54bWxQSwUGAAAAAAQABAD1AAAAhwMAAAAA&#10;" fillcolor="white [3212]" stroked="f" strokeweight=".5pt">
                      <v:textbox inset="36pt,7.2pt,36pt,7.2pt">
                        <w:txbxContent>
                          <w:sdt>
                            <w:sdtPr>
                              <w:rPr>
                                <w:rFonts w:ascii="Times New Roman" w:eastAsiaTheme="minorHAnsi" w:hAnsi="Times New Roman" w:cs="Times New Roman"/>
                                <w:b/>
                                <w:sz w:val="52"/>
                                <w:szCs w:val="52"/>
                                <w:lang w:eastAsia="en-US"/>
                              </w:rPr>
                              <w:alias w:val="Título"/>
                              <w:tag w:val=""/>
                              <w:id w:val="-9991715"/>
                              <w:dataBinding w:prefixMappings="xmlns:ns0='http://purl.org/dc/elements/1.1/' xmlns:ns1='http://schemas.openxmlformats.org/package/2006/metadata/core-properties' " w:xpath="/ns1:coreProperties[1]/ns0:title[1]" w:storeItemID="{6C3C8BC8-F283-45AE-878A-BAB7291924A1}"/>
                              <w:text/>
                            </w:sdtPr>
                            <w:sdtEndPr/>
                            <w:sdtContent>
                              <w:p w:rsidR="00616373" w:rsidRDefault="00AF2D87" w:rsidP="00616373">
                                <w:pPr>
                                  <w:pStyle w:val="Sinespaciado"/>
                                  <w:jc w:val="center"/>
                                  <w:rPr>
                                    <w:rFonts w:asciiTheme="majorHAnsi" w:eastAsiaTheme="majorEastAsia" w:hAnsiTheme="majorHAnsi" w:cstheme="majorBidi"/>
                                    <w:caps/>
                                    <w:color w:val="5B9BD5" w:themeColor="accent1"/>
                                    <w:sz w:val="72"/>
                                    <w:szCs w:val="72"/>
                                  </w:rPr>
                                </w:pPr>
                                <w:r>
                                  <w:rPr>
                                    <w:rFonts w:ascii="Times New Roman" w:eastAsiaTheme="minorHAnsi" w:hAnsi="Times New Roman" w:cs="Times New Roman"/>
                                    <w:b/>
                                    <w:sz w:val="52"/>
                                    <w:szCs w:val="52"/>
                                    <w:lang w:eastAsia="en-US"/>
                                  </w:rPr>
                                  <w:t>INFORME</w:t>
                                </w:r>
                                <w:r w:rsidR="00616373" w:rsidRPr="00616373">
                                  <w:rPr>
                                    <w:rFonts w:ascii="Times New Roman" w:eastAsiaTheme="minorHAnsi" w:hAnsi="Times New Roman" w:cs="Times New Roman"/>
                                    <w:b/>
                                    <w:sz w:val="52"/>
                                    <w:szCs w:val="52"/>
                                    <w:lang w:eastAsia="en-US"/>
                                  </w:rPr>
                                  <w:t xml:space="preserve">            </w:t>
                                </w:r>
                                <w:r w:rsidR="00616373">
                                  <w:rPr>
                                    <w:rFonts w:ascii="Times New Roman" w:eastAsiaTheme="minorHAnsi" w:hAnsi="Times New Roman" w:cs="Times New Roman"/>
                                    <w:b/>
                                    <w:sz w:val="52"/>
                                    <w:szCs w:val="52"/>
                                    <w:lang w:eastAsia="en-US"/>
                                  </w:rPr>
                                  <w:t xml:space="preserve">                   </w:t>
                                </w:r>
                                <w:r w:rsidR="00616373" w:rsidRPr="00616373">
                                  <w:rPr>
                                    <w:rFonts w:ascii="Times New Roman" w:eastAsiaTheme="minorHAnsi" w:hAnsi="Times New Roman" w:cs="Times New Roman"/>
                                    <w:b/>
                                    <w:sz w:val="52"/>
                                    <w:szCs w:val="52"/>
                                    <w:lang w:eastAsia="en-US"/>
                                  </w:rPr>
                                  <w:t xml:space="preserve">VEEDURIA SOCIAL ALBERGUES EN ATENCION A DAMNIFICADOS POR </w:t>
                                </w:r>
                                <w:r>
                                  <w:rPr>
                                    <w:rFonts w:ascii="Times New Roman" w:eastAsiaTheme="minorHAnsi" w:hAnsi="Times New Roman" w:cs="Times New Roman"/>
                                    <w:b/>
                                    <w:sz w:val="52"/>
                                    <w:szCs w:val="52"/>
                                    <w:lang w:eastAsia="en-US"/>
                                  </w:rPr>
                                  <w:t xml:space="preserve">FENOMENOS NATURALES </w:t>
                                </w:r>
                                <w:r w:rsidR="00616373" w:rsidRPr="00616373">
                                  <w:rPr>
                                    <w:rFonts w:ascii="Times New Roman" w:eastAsiaTheme="minorHAnsi" w:hAnsi="Times New Roman" w:cs="Times New Roman"/>
                                    <w:b/>
                                    <w:sz w:val="52"/>
                                    <w:szCs w:val="52"/>
                                    <w:lang w:eastAsia="en-US"/>
                                  </w:rPr>
                                  <w:t>ETA E IOTA</w:t>
                                </w:r>
                              </w:p>
                            </w:sdtContent>
                          </w:sdt>
                        </w:txbxContent>
                      </v:textbox>
                    </v:shape>
                    <w10:wrap anchorx="margin" anchory="margin"/>
                  </v:group>
                </w:pict>
              </mc:Fallback>
            </mc:AlternateContent>
          </w:r>
        </w:p>
        <w:p w:rsidR="00616373" w:rsidRPr="00AF2D87" w:rsidRDefault="00616373">
          <w:pPr>
            <w:rPr>
              <w:rFonts w:ascii="Century Gothic" w:hAnsi="Century Gothic" w:cs="Times New Roman"/>
              <w:b/>
              <w:sz w:val="24"/>
              <w:szCs w:val="24"/>
              <w:lang w:val="es-HN"/>
            </w:rPr>
          </w:pPr>
          <w:r w:rsidRPr="00AF2D87">
            <w:rPr>
              <w:rFonts w:ascii="Century Gothic" w:hAnsi="Century Gothic" w:cs="Times New Roman"/>
              <w:b/>
              <w:sz w:val="24"/>
              <w:szCs w:val="24"/>
              <w:lang w:val="es-HN"/>
            </w:rPr>
            <w:br w:type="page"/>
          </w:r>
        </w:p>
      </w:sdtContent>
    </w:sdt>
    <w:p w:rsidR="00D24E41" w:rsidRPr="00AF2D87" w:rsidRDefault="004D4B75" w:rsidP="00C52B33">
      <w:pPr>
        <w:pStyle w:val="Prrafodelista"/>
        <w:numPr>
          <w:ilvl w:val="0"/>
          <w:numId w:val="5"/>
        </w:numPr>
        <w:spacing w:after="0" w:line="240" w:lineRule="auto"/>
        <w:jc w:val="both"/>
        <w:rPr>
          <w:rFonts w:ascii="Century Gothic" w:hAnsi="Century Gothic" w:cstheme="minorHAnsi"/>
          <w:b/>
          <w:sz w:val="24"/>
          <w:szCs w:val="24"/>
        </w:rPr>
      </w:pPr>
      <w:r w:rsidRPr="00AF2D87">
        <w:rPr>
          <w:rFonts w:ascii="Century Gothic" w:hAnsi="Century Gothic" w:cs="Times New Roman"/>
          <w:b/>
          <w:sz w:val="24"/>
          <w:szCs w:val="24"/>
          <w:lang w:val="es-HN"/>
        </w:rPr>
        <w:lastRenderedPageBreak/>
        <w:t xml:space="preserve"> </w:t>
      </w:r>
      <w:r w:rsidR="00D24E41" w:rsidRPr="00AF2D87">
        <w:rPr>
          <w:rFonts w:ascii="Century Gothic" w:hAnsi="Century Gothic" w:cstheme="minorHAnsi"/>
          <w:b/>
          <w:sz w:val="24"/>
          <w:szCs w:val="24"/>
        </w:rPr>
        <w:t>ANTECEDENTES</w:t>
      </w:r>
    </w:p>
    <w:p w:rsidR="00D24E41" w:rsidRPr="00AF2D87" w:rsidRDefault="00D24E41" w:rsidP="004D4B75">
      <w:pPr>
        <w:spacing w:after="0" w:line="240" w:lineRule="auto"/>
        <w:jc w:val="both"/>
        <w:rPr>
          <w:rFonts w:ascii="Century Gothic" w:hAnsi="Century Gothic" w:cstheme="minorHAnsi"/>
          <w:sz w:val="24"/>
          <w:szCs w:val="24"/>
        </w:rPr>
      </w:pPr>
    </w:p>
    <w:p w:rsidR="00D24E41" w:rsidRPr="00AF2D87" w:rsidRDefault="00D24E41" w:rsidP="004D4B75">
      <w:pPr>
        <w:spacing w:after="0" w:line="240" w:lineRule="auto"/>
        <w:jc w:val="both"/>
        <w:rPr>
          <w:rFonts w:ascii="Century Gothic" w:hAnsi="Century Gothic" w:cstheme="minorHAnsi"/>
          <w:sz w:val="24"/>
          <w:szCs w:val="24"/>
        </w:rPr>
      </w:pPr>
    </w:p>
    <w:p w:rsidR="00D24E41" w:rsidRPr="00AF2D87" w:rsidRDefault="00D24E41" w:rsidP="00D24E41">
      <w:pPr>
        <w:spacing w:after="0" w:line="240" w:lineRule="auto"/>
        <w:jc w:val="both"/>
        <w:rPr>
          <w:rFonts w:ascii="Century Gothic" w:eastAsia="Times New Roman" w:hAnsi="Century Gothic" w:cs="Arial"/>
          <w:bCs/>
          <w:sz w:val="24"/>
          <w:szCs w:val="24"/>
          <w:lang w:eastAsia="es-HN"/>
        </w:rPr>
      </w:pPr>
      <w:r w:rsidRPr="00AF2D87">
        <w:rPr>
          <w:rFonts w:ascii="Century Gothic" w:hAnsi="Century Gothic" w:cstheme="minorHAnsi"/>
          <w:sz w:val="24"/>
          <w:szCs w:val="24"/>
        </w:rPr>
        <w:t>El huracán ETA tuvo su formación el sábado 31 de octubre de 2020. El 2 de noviembre el Gobierno de la República declaró Estado de Emergencia en los departamentos de Islas de la Bahía, Cortés, Atlántida, Yoro, Colón, Olancho, Gracias a Dios, Comayagua, Francisco Morazán y El Paraíso. Por su parte, el huracán IOTA se formó el viernes 13 de noviembre de 2020, p</w:t>
      </w:r>
      <w:r w:rsidRPr="00AF2D87">
        <w:rPr>
          <w:rFonts w:ascii="Century Gothic" w:eastAsia="Times New Roman" w:hAnsi="Century Gothic" w:cs="Arial"/>
          <w:bCs/>
          <w:sz w:val="24"/>
          <w:szCs w:val="24"/>
          <w:lang w:eastAsia="es-HN"/>
        </w:rPr>
        <w:t>or su parte, el huracán IOTA se formó el viernes 13 de noviembre de 2020, a partir de entonces, se formuló el PCM-113-2020.</w:t>
      </w:r>
    </w:p>
    <w:p w:rsidR="00C52B33" w:rsidRPr="00AF2D87" w:rsidRDefault="00C52B33" w:rsidP="00C52B33">
      <w:pPr>
        <w:spacing w:after="0" w:line="240" w:lineRule="auto"/>
        <w:jc w:val="both"/>
        <w:rPr>
          <w:rFonts w:ascii="Century Gothic" w:hAnsi="Century Gothic" w:cs="Times New Roman"/>
          <w:sz w:val="24"/>
          <w:szCs w:val="24"/>
          <w:lang w:val="es-HN"/>
        </w:rPr>
      </w:pPr>
    </w:p>
    <w:p w:rsidR="00C52B33" w:rsidRPr="00AF2D87" w:rsidRDefault="00C52B33" w:rsidP="00C52B33">
      <w:p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La depresión tropical ETA y el paso de la tormenta IOTA provocó fuertes inundaciones y derrumbes a nivel nacional, dejando a miles de damnificados en todas las regiones del país lo que dio paso a la declaratoria de Estado de Emergencia Nacional el cuatro (4)  de Noviembre del año 2020.</w:t>
      </w:r>
    </w:p>
    <w:p w:rsidR="00D24E41" w:rsidRPr="00AF2D87" w:rsidRDefault="00D24E41" w:rsidP="00D24E41">
      <w:pPr>
        <w:spacing w:after="0" w:line="240" w:lineRule="auto"/>
        <w:jc w:val="both"/>
        <w:rPr>
          <w:rFonts w:ascii="Century Gothic" w:eastAsia="Times New Roman" w:hAnsi="Century Gothic" w:cs="Arial"/>
          <w:bCs/>
          <w:sz w:val="24"/>
          <w:szCs w:val="24"/>
          <w:lang w:eastAsia="es-HN"/>
        </w:rPr>
      </w:pPr>
    </w:p>
    <w:p w:rsidR="00D24E41" w:rsidRPr="00AF2D87" w:rsidRDefault="00D24E41" w:rsidP="00D24E41">
      <w:pPr>
        <w:spacing w:after="0" w:line="240" w:lineRule="auto"/>
        <w:jc w:val="both"/>
        <w:rPr>
          <w:rFonts w:ascii="Century Gothic" w:eastAsia="Times New Roman" w:hAnsi="Century Gothic" w:cs="Arial"/>
          <w:bCs/>
          <w:sz w:val="24"/>
          <w:szCs w:val="24"/>
          <w:lang w:eastAsia="es-HN"/>
        </w:rPr>
      </w:pPr>
      <w:r w:rsidRPr="00AF2D87">
        <w:rPr>
          <w:rFonts w:ascii="Century Gothic" w:eastAsia="Times New Roman" w:hAnsi="Century Gothic" w:cs="Arial"/>
          <w:bCs/>
          <w:sz w:val="24"/>
          <w:szCs w:val="24"/>
          <w:lang w:eastAsia="es-HN"/>
        </w:rPr>
        <w:t xml:space="preserve">En este marco se produce una transferencia extraordinaria para 80 municipios afectados por las tormentas, por L. 156, 150,000.00, en el marco del PCM – 113-2020, sobre la base de la Evaluación de Daños y Análisis de Necesidades (EDAN) municipales, construidos en el marco del Comité de Emergencia Municipal (CODEM) y la coordinación del Comité Permanente de Contingencias (COPECO), como ente encargado del tema en el marco de Sistema Nacional de Gestión de Riesgos (SINAGER). </w:t>
      </w:r>
    </w:p>
    <w:p w:rsidR="00C52B33" w:rsidRPr="00AF2D87" w:rsidRDefault="00C52B33" w:rsidP="00D24E41">
      <w:pPr>
        <w:spacing w:after="0" w:line="240" w:lineRule="auto"/>
        <w:jc w:val="both"/>
        <w:rPr>
          <w:rFonts w:ascii="Century Gothic" w:eastAsia="Times New Roman" w:hAnsi="Century Gothic" w:cs="Arial"/>
          <w:bCs/>
          <w:sz w:val="24"/>
          <w:szCs w:val="24"/>
          <w:lang w:eastAsia="es-HN"/>
        </w:rPr>
      </w:pPr>
    </w:p>
    <w:p w:rsidR="00C52B33" w:rsidRPr="00AF2D87" w:rsidRDefault="00C52B33" w:rsidP="00C52B33">
      <w:p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La depresión tropical ETA y el paso de la tormenta IOTA provocó fuertes inundaciones y derrumbes a nivel nacional, dejando a miles de damnificados en todas las regiones del país lo que dio paso a la declaratoria de Estado de Emergencia Nacional el cuatro (4)  de Noviembre del año 2020.</w:t>
      </w:r>
    </w:p>
    <w:p w:rsidR="00C52B33" w:rsidRPr="00AF2D87" w:rsidRDefault="00C52B33" w:rsidP="00D24E41">
      <w:pPr>
        <w:spacing w:after="0" w:line="240" w:lineRule="auto"/>
        <w:jc w:val="both"/>
        <w:rPr>
          <w:rFonts w:ascii="Century Gothic" w:eastAsia="Times New Roman" w:hAnsi="Century Gothic" w:cs="Arial"/>
          <w:bCs/>
          <w:sz w:val="24"/>
          <w:szCs w:val="24"/>
          <w:lang w:eastAsia="es-HN"/>
        </w:rPr>
      </w:pPr>
    </w:p>
    <w:p w:rsidR="00C52B33" w:rsidRPr="00AF2D87" w:rsidRDefault="00C52B33" w:rsidP="00D24E41">
      <w:pPr>
        <w:spacing w:after="0" w:line="240" w:lineRule="auto"/>
        <w:jc w:val="both"/>
        <w:rPr>
          <w:rFonts w:ascii="Century Gothic" w:eastAsia="Times New Roman" w:hAnsi="Century Gothic" w:cs="Arial"/>
          <w:bCs/>
          <w:sz w:val="24"/>
          <w:szCs w:val="24"/>
          <w:lang w:eastAsia="es-HN"/>
        </w:rPr>
      </w:pPr>
    </w:p>
    <w:p w:rsidR="00C52B33" w:rsidRPr="00AF2D87" w:rsidRDefault="00C52B33" w:rsidP="00D24E41">
      <w:pPr>
        <w:spacing w:after="0" w:line="240" w:lineRule="auto"/>
        <w:jc w:val="both"/>
        <w:rPr>
          <w:rFonts w:ascii="Century Gothic" w:eastAsia="Times New Roman" w:hAnsi="Century Gothic" w:cs="Arial"/>
          <w:bCs/>
          <w:sz w:val="24"/>
          <w:szCs w:val="24"/>
          <w:lang w:eastAsia="es-HN"/>
        </w:rPr>
      </w:pPr>
      <w:r w:rsidRPr="00AF2D87">
        <w:rPr>
          <w:rFonts w:ascii="Century Gothic" w:hAnsi="Century Gothic" w:cs="Times New Roman"/>
          <w:b/>
          <w:noProof/>
          <w:sz w:val="24"/>
          <w:szCs w:val="24"/>
          <w:lang w:val="es-HN" w:eastAsia="es-HN"/>
        </w:rPr>
        <w:drawing>
          <wp:anchor distT="0" distB="0" distL="114300" distR="114300" simplePos="0" relativeHeight="251659264" behindDoc="1" locked="0" layoutInCell="1" allowOverlap="1" wp14:anchorId="1D0087D2" wp14:editId="3867344B">
            <wp:simplePos x="0" y="0"/>
            <wp:positionH relativeFrom="margin">
              <wp:align>center</wp:align>
            </wp:positionH>
            <wp:positionV relativeFrom="paragraph">
              <wp:posOffset>345440</wp:posOffset>
            </wp:positionV>
            <wp:extent cx="4915535" cy="2400300"/>
            <wp:effectExtent l="0" t="0" r="0" b="0"/>
            <wp:wrapTight wrapText="bothSides">
              <wp:wrapPolygon edited="0">
                <wp:start x="0" y="0"/>
                <wp:lineTo x="0" y="21429"/>
                <wp:lineTo x="21513" y="21429"/>
                <wp:lineTo x="21513"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15535" cy="2400300"/>
                    </a:xfrm>
                    <a:prstGeom prst="rect">
                      <a:avLst/>
                    </a:prstGeom>
                    <a:noFill/>
                  </pic:spPr>
                </pic:pic>
              </a:graphicData>
            </a:graphic>
            <wp14:sizeRelH relativeFrom="page">
              <wp14:pctWidth>0</wp14:pctWidth>
            </wp14:sizeRelH>
            <wp14:sizeRelV relativeFrom="page">
              <wp14:pctHeight>0</wp14:pctHeight>
            </wp14:sizeRelV>
          </wp:anchor>
        </w:drawing>
      </w:r>
    </w:p>
    <w:p w:rsidR="00D24E41" w:rsidRPr="00AF2D87" w:rsidRDefault="00D24E41" w:rsidP="004D4B75">
      <w:pPr>
        <w:spacing w:after="0" w:line="240" w:lineRule="auto"/>
        <w:jc w:val="both"/>
        <w:rPr>
          <w:rFonts w:ascii="Century Gothic" w:hAnsi="Century Gothic" w:cs="Times New Roman"/>
          <w:b/>
          <w:sz w:val="24"/>
          <w:szCs w:val="24"/>
          <w:lang w:val="es-HN"/>
        </w:rPr>
      </w:pPr>
    </w:p>
    <w:p w:rsidR="004D4B75" w:rsidRPr="00AF2D87" w:rsidRDefault="00AF2D87" w:rsidP="00C52B33">
      <w:pPr>
        <w:pStyle w:val="Prrafodelista"/>
        <w:numPr>
          <w:ilvl w:val="0"/>
          <w:numId w:val="5"/>
        </w:numPr>
        <w:spacing w:after="0" w:line="240" w:lineRule="auto"/>
        <w:jc w:val="both"/>
        <w:rPr>
          <w:rFonts w:ascii="Century Gothic" w:hAnsi="Century Gothic" w:cs="Times New Roman"/>
          <w:b/>
          <w:sz w:val="24"/>
          <w:szCs w:val="24"/>
          <w:lang w:val="es-HN"/>
        </w:rPr>
      </w:pPr>
      <w:r>
        <w:rPr>
          <w:rFonts w:ascii="Century Gothic" w:hAnsi="Century Gothic" w:cs="Times New Roman"/>
          <w:b/>
          <w:sz w:val="24"/>
          <w:szCs w:val="24"/>
          <w:lang w:val="es-HN"/>
        </w:rPr>
        <w:lastRenderedPageBreak/>
        <w:t>INTERVENCIÓN DEL FONAC</w:t>
      </w:r>
    </w:p>
    <w:p w:rsidR="004D4B75" w:rsidRPr="00AF2D87" w:rsidRDefault="004D4B75" w:rsidP="004D4B75">
      <w:pPr>
        <w:spacing w:after="0" w:line="240" w:lineRule="auto"/>
        <w:jc w:val="both"/>
        <w:rPr>
          <w:rFonts w:ascii="Century Gothic" w:hAnsi="Century Gothic" w:cs="Times New Roman"/>
          <w:b/>
          <w:sz w:val="24"/>
          <w:szCs w:val="24"/>
          <w:lang w:val="es-HN"/>
        </w:rPr>
      </w:pPr>
    </w:p>
    <w:p w:rsidR="004D4B75" w:rsidRPr="00AF2D87" w:rsidRDefault="004D4B75" w:rsidP="004D4B75">
      <w:p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El Foro Nacional de Convergencia FONAC, en su rol de veedor social se  involucró en el seguimiento y monitoreo a las intervenciones vinculadas de atención a la población en condición de evacuados y damnificados en las declaradas zonas de riesgo y que fueron acogidos  en los albergues, con el fin de constatar e incidir en el accionar Gubernamental que mediante la activación de los planes de emergencia que debieron emprender a través de la institucionalidad competente, mediante el diseño y aplicación de una herramienta de veeduría que permitió recoger información respecto a la respuesta ante la emergencia por parte del Gobierno Central, Municipal hacia los damnificados, se pudo recopilar información respecto al funcionamiento y atención brindada en los albergues, por una parte se realizó entrevista a la autoridad competente, institución o persona responsable del albergue, así como la aplicación de una segunda herramienta que permitió  recoger información directa  con familias en condición de damnificados seleccionadas de manera aleatoria.</w:t>
      </w:r>
    </w:p>
    <w:p w:rsidR="004D4B75" w:rsidRPr="00AF2D87" w:rsidRDefault="004D4B75" w:rsidP="004D4B75">
      <w:pPr>
        <w:spacing w:after="0" w:line="240" w:lineRule="auto"/>
        <w:jc w:val="both"/>
        <w:rPr>
          <w:rFonts w:ascii="Century Gothic" w:hAnsi="Century Gothic" w:cs="Times New Roman"/>
          <w:sz w:val="24"/>
          <w:szCs w:val="24"/>
          <w:lang w:val="es-HN"/>
        </w:rPr>
      </w:pPr>
    </w:p>
    <w:p w:rsidR="004D4B75" w:rsidRPr="00AF2D87" w:rsidRDefault="004D4B75" w:rsidP="004D4B75">
      <w:pPr>
        <w:spacing w:after="0" w:line="240" w:lineRule="auto"/>
        <w:jc w:val="both"/>
        <w:rPr>
          <w:rFonts w:ascii="Century Gothic" w:hAnsi="Century Gothic" w:cs="Times New Roman"/>
          <w:i/>
          <w:sz w:val="24"/>
          <w:szCs w:val="24"/>
          <w:lang w:val="es-HN"/>
        </w:rPr>
      </w:pPr>
      <w:r w:rsidRPr="00AF2D87">
        <w:rPr>
          <w:rFonts w:ascii="Century Gothic" w:hAnsi="Century Gothic" w:cs="Times New Roman"/>
          <w:sz w:val="24"/>
          <w:szCs w:val="24"/>
          <w:lang w:val="es-HN"/>
        </w:rPr>
        <w:t xml:space="preserve">La herramienta aplicada permitió evidenciar a de la articulación o desarticulación para el funcionamiento del albergue, consultando respecto a Personal coordinador del albergue asimismo de atención en el albergue. Asimismo las condiciones generales de Infraestructura, hidrosanitarias, energía y seguridad, Hospedaje, alimentación, bioseguridad, atención médica entre otros. Para más información </w:t>
      </w:r>
      <w:r w:rsidR="00EC173E" w:rsidRPr="00AF2D87">
        <w:rPr>
          <w:rFonts w:ascii="Century Gothic" w:hAnsi="Century Gothic" w:cs="Times New Roman"/>
          <w:i/>
          <w:sz w:val="24"/>
          <w:szCs w:val="24"/>
          <w:lang w:val="es-HN"/>
        </w:rPr>
        <w:t>ver Anexo</w:t>
      </w:r>
      <w:r w:rsidRPr="00AF2D87">
        <w:rPr>
          <w:rFonts w:ascii="Century Gothic" w:hAnsi="Century Gothic" w:cs="Times New Roman"/>
          <w:bCs/>
          <w:i/>
          <w:sz w:val="24"/>
          <w:szCs w:val="24"/>
          <w:lang w:val="es-HN"/>
        </w:rPr>
        <w:t xml:space="preserve">: </w:t>
      </w:r>
      <w:r w:rsidRPr="00AF2D87">
        <w:rPr>
          <w:rFonts w:ascii="Century Gothic" w:hAnsi="Century Gothic" w:cs="Times New Roman"/>
          <w:i/>
          <w:sz w:val="24"/>
          <w:szCs w:val="24"/>
          <w:lang w:val="es-HN"/>
        </w:rPr>
        <w:t>Reportes Departamentales de Veeduría en albergues.</w:t>
      </w:r>
    </w:p>
    <w:p w:rsidR="00EC173E" w:rsidRPr="00AF2D87" w:rsidRDefault="00EC173E" w:rsidP="004D4B75">
      <w:pPr>
        <w:spacing w:after="0" w:line="240" w:lineRule="auto"/>
        <w:jc w:val="center"/>
        <w:rPr>
          <w:rFonts w:ascii="Century Gothic" w:hAnsi="Century Gothic" w:cs="Times New Roman"/>
          <w:b/>
          <w:sz w:val="24"/>
          <w:szCs w:val="24"/>
          <w:lang w:val="es-HN"/>
        </w:rPr>
      </w:pPr>
    </w:p>
    <w:p w:rsidR="004D4B75" w:rsidRPr="00AF2D87" w:rsidRDefault="004D4B75" w:rsidP="004D4B75">
      <w:pPr>
        <w:spacing w:after="0" w:line="240" w:lineRule="auto"/>
        <w:jc w:val="center"/>
        <w:rPr>
          <w:rFonts w:ascii="Century Gothic" w:hAnsi="Century Gothic" w:cs="Times New Roman"/>
          <w:b/>
          <w:sz w:val="24"/>
          <w:szCs w:val="24"/>
          <w:lang w:val="es-HN"/>
        </w:rPr>
      </w:pPr>
      <w:r w:rsidRPr="00AF2D87">
        <w:rPr>
          <w:rFonts w:ascii="Century Gothic" w:hAnsi="Century Gothic" w:cs="Times New Roman"/>
          <w:b/>
          <w:sz w:val="24"/>
          <w:szCs w:val="24"/>
          <w:lang w:val="es-HN"/>
        </w:rPr>
        <w:t>REPORTE VEEDURIA ALBERGUES DEL 2 AL 23 de NOVIEMBRE</w:t>
      </w:r>
    </w:p>
    <w:tbl>
      <w:tblPr>
        <w:tblStyle w:val="Tablaconcuadrcula"/>
        <w:tblW w:w="0" w:type="auto"/>
        <w:tblLook w:val="04A0" w:firstRow="1" w:lastRow="0" w:firstColumn="1" w:lastColumn="0" w:noHBand="0" w:noVBand="1"/>
      </w:tblPr>
      <w:tblGrid>
        <w:gridCol w:w="2316"/>
        <w:gridCol w:w="2212"/>
        <w:gridCol w:w="2183"/>
        <w:gridCol w:w="1783"/>
      </w:tblGrid>
      <w:tr w:rsidR="004D4B75" w:rsidRPr="00AF2D87" w:rsidTr="00A94237">
        <w:tc>
          <w:tcPr>
            <w:tcW w:w="2316" w:type="dxa"/>
          </w:tcPr>
          <w:p w:rsidR="004D4B75" w:rsidRPr="00AF2D87" w:rsidRDefault="004D4B75" w:rsidP="00A94237">
            <w:pPr>
              <w:jc w:val="both"/>
              <w:rPr>
                <w:rFonts w:ascii="Century Gothic" w:hAnsi="Century Gothic" w:cs="Times New Roman"/>
                <w:b/>
                <w:sz w:val="24"/>
                <w:szCs w:val="24"/>
              </w:rPr>
            </w:pPr>
            <w:r w:rsidRPr="00AF2D87">
              <w:rPr>
                <w:rFonts w:ascii="Century Gothic" w:hAnsi="Century Gothic" w:cs="Times New Roman"/>
                <w:b/>
                <w:sz w:val="24"/>
                <w:szCs w:val="24"/>
              </w:rPr>
              <w:t xml:space="preserve">Departamentos </w:t>
            </w:r>
          </w:p>
        </w:tc>
        <w:tc>
          <w:tcPr>
            <w:tcW w:w="2212" w:type="dxa"/>
          </w:tcPr>
          <w:p w:rsidR="004D4B75" w:rsidRPr="00AF2D87" w:rsidRDefault="004D4B75" w:rsidP="00A94237">
            <w:pPr>
              <w:jc w:val="both"/>
              <w:rPr>
                <w:rFonts w:ascii="Century Gothic" w:hAnsi="Century Gothic" w:cs="Times New Roman"/>
                <w:b/>
                <w:sz w:val="24"/>
                <w:szCs w:val="24"/>
              </w:rPr>
            </w:pPr>
            <w:r w:rsidRPr="00AF2D87">
              <w:rPr>
                <w:rFonts w:ascii="Century Gothic" w:hAnsi="Century Gothic" w:cs="Times New Roman"/>
                <w:b/>
                <w:sz w:val="24"/>
                <w:szCs w:val="24"/>
              </w:rPr>
              <w:t>Total de Albergues en que se levantó Herramienta</w:t>
            </w:r>
          </w:p>
        </w:tc>
        <w:tc>
          <w:tcPr>
            <w:tcW w:w="2183" w:type="dxa"/>
          </w:tcPr>
          <w:p w:rsidR="004D4B75" w:rsidRPr="00AF2D87" w:rsidRDefault="004D4B75" w:rsidP="00A94237">
            <w:pPr>
              <w:jc w:val="both"/>
              <w:rPr>
                <w:rFonts w:ascii="Century Gothic" w:hAnsi="Century Gothic" w:cs="Times New Roman"/>
                <w:b/>
                <w:sz w:val="24"/>
                <w:szCs w:val="24"/>
              </w:rPr>
            </w:pPr>
            <w:r w:rsidRPr="00AF2D87">
              <w:rPr>
                <w:rFonts w:ascii="Century Gothic" w:hAnsi="Century Gothic" w:cs="Times New Roman"/>
                <w:b/>
                <w:sz w:val="24"/>
                <w:szCs w:val="24"/>
              </w:rPr>
              <w:t>Total de familias Albergadas identificadas</w:t>
            </w:r>
          </w:p>
        </w:tc>
        <w:tc>
          <w:tcPr>
            <w:tcW w:w="1783" w:type="dxa"/>
          </w:tcPr>
          <w:p w:rsidR="004D4B75" w:rsidRPr="00AF2D87" w:rsidRDefault="004D4B75" w:rsidP="00A94237">
            <w:pPr>
              <w:jc w:val="both"/>
              <w:rPr>
                <w:rFonts w:ascii="Century Gothic" w:hAnsi="Century Gothic" w:cs="Times New Roman"/>
                <w:b/>
                <w:sz w:val="24"/>
                <w:szCs w:val="24"/>
              </w:rPr>
            </w:pPr>
            <w:r w:rsidRPr="00AF2D87">
              <w:rPr>
                <w:rFonts w:ascii="Century Gothic" w:hAnsi="Century Gothic" w:cs="Times New Roman"/>
                <w:b/>
                <w:sz w:val="24"/>
                <w:szCs w:val="24"/>
              </w:rPr>
              <w:t>Total menores de 5 años identificados</w:t>
            </w:r>
          </w:p>
        </w:tc>
      </w:tr>
      <w:tr w:rsidR="004D4B75" w:rsidRPr="00AF2D87" w:rsidTr="00A94237">
        <w:tc>
          <w:tcPr>
            <w:tcW w:w="2316" w:type="dxa"/>
          </w:tcPr>
          <w:p w:rsidR="004D4B75" w:rsidRPr="00AF2D87" w:rsidRDefault="004D4B75" w:rsidP="00A94237">
            <w:pPr>
              <w:jc w:val="center"/>
              <w:rPr>
                <w:rFonts w:ascii="Century Gothic" w:hAnsi="Century Gothic" w:cs="Times New Roman"/>
                <w:sz w:val="24"/>
                <w:szCs w:val="24"/>
              </w:rPr>
            </w:pPr>
            <w:r w:rsidRPr="00AF2D87">
              <w:rPr>
                <w:rFonts w:ascii="Century Gothic" w:hAnsi="Century Gothic" w:cs="Times New Roman"/>
                <w:sz w:val="24"/>
                <w:szCs w:val="24"/>
              </w:rPr>
              <w:t>14</w:t>
            </w:r>
          </w:p>
        </w:tc>
        <w:tc>
          <w:tcPr>
            <w:tcW w:w="2212" w:type="dxa"/>
          </w:tcPr>
          <w:p w:rsidR="004D4B75" w:rsidRPr="00AF2D87" w:rsidRDefault="004D4B75" w:rsidP="00A94237">
            <w:pPr>
              <w:jc w:val="center"/>
              <w:rPr>
                <w:rFonts w:ascii="Century Gothic" w:hAnsi="Century Gothic" w:cs="Times New Roman"/>
                <w:sz w:val="24"/>
                <w:szCs w:val="24"/>
              </w:rPr>
            </w:pPr>
            <w:r w:rsidRPr="00AF2D87">
              <w:rPr>
                <w:rFonts w:ascii="Century Gothic" w:hAnsi="Century Gothic" w:cs="Times New Roman"/>
                <w:sz w:val="24"/>
                <w:szCs w:val="24"/>
              </w:rPr>
              <w:t>187</w:t>
            </w:r>
          </w:p>
        </w:tc>
        <w:tc>
          <w:tcPr>
            <w:tcW w:w="2183" w:type="dxa"/>
          </w:tcPr>
          <w:p w:rsidR="004D4B75" w:rsidRPr="00AF2D87" w:rsidRDefault="004D4B75" w:rsidP="00A94237">
            <w:pPr>
              <w:jc w:val="both"/>
              <w:rPr>
                <w:rFonts w:ascii="Century Gothic" w:hAnsi="Century Gothic" w:cs="Times New Roman"/>
                <w:sz w:val="24"/>
                <w:szCs w:val="24"/>
              </w:rPr>
            </w:pPr>
            <w:r w:rsidRPr="00AF2D87">
              <w:rPr>
                <w:rFonts w:ascii="Century Gothic" w:hAnsi="Century Gothic" w:cs="Times New Roman"/>
                <w:sz w:val="24"/>
                <w:szCs w:val="24"/>
              </w:rPr>
              <w:t>5,013</w:t>
            </w:r>
          </w:p>
        </w:tc>
        <w:tc>
          <w:tcPr>
            <w:tcW w:w="1783" w:type="dxa"/>
          </w:tcPr>
          <w:p w:rsidR="004D4B75" w:rsidRPr="00AF2D87" w:rsidRDefault="004D4B75" w:rsidP="00A94237">
            <w:pPr>
              <w:jc w:val="both"/>
              <w:rPr>
                <w:rFonts w:ascii="Century Gothic" w:hAnsi="Century Gothic" w:cs="Times New Roman"/>
                <w:sz w:val="24"/>
                <w:szCs w:val="24"/>
              </w:rPr>
            </w:pPr>
            <w:r w:rsidRPr="00AF2D87">
              <w:rPr>
                <w:rFonts w:ascii="Century Gothic" w:hAnsi="Century Gothic" w:cs="Times New Roman"/>
                <w:sz w:val="24"/>
                <w:szCs w:val="24"/>
              </w:rPr>
              <w:t>3,951</w:t>
            </w:r>
          </w:p>
        </w:tc>
      </w:tr>
    </w:tbl>
    <w:p w:rsidR="004D4B75" w:rsidRPr="00AF2D87" w:rsidRDefault="004D4B75" w:rsidP="004D4B75">
      <w:p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Fuente: elaboración propia</w:t>
      </w:r>
      <w:r w:rsidR="00D24E41" w:rsidRPr="00AF2D87">
        <w:rPr>
          <w:rFonts w:ascii="Century Gothic" w:hAnsi="Century Gothic" w:cs="Times New Roman"/>
          <w:sz w:val="24"/>
          <w:szCs w:val="24"/>
          <w:lang w:val="es-HN"/>
        </w:rPr>
        <w:t xml:space="preserve"> datos recopilado herramienta de aplicación digital.</w:t>
      </w:r>
    </w:p>
    <w:p w:rsidR="004D4B75" w:rsidRPr="00AF2D87" w:rsidRDefault="004D4B75" w:rsidP="004D4B75">
      <w:pPr>
        <w:spacing w:after="0" w:line="240" w:lineRule="auto"/>
        <w:jc w:val="both"/>
        <w:rPr>
          <w:rFonts w:ascii="Century Gothic" w:hAnsi="Century Gothic" w:cs="Times New Roman"/>
          <w:b/>
          <w:sz w:val="24"/>
          <w:szCs w:val="24"/>
          <w:lang w:val="es-HN"/>
        </w:rPr>
      </w:pPr>
    </w:p>
    <w:p w:rsidR="004D4B75" w:rsidRPr="00AF2D87" w:rsidRDefault="004D4B75" w:rsidP="004D4B75">
      <w:pPr>
        <w:spacing w:after="0" w:line="240" w:lineRule="auto"/>
        <w:jc w:val="both"/>
        <w:rPr>
          <w:rFonts w:ascii="Century Gothic" w:hAnsi="Century Gothic" w:cs="Times New Roman"/>
          <w:b/>
          <w:sz w:val="24"/>
          <w:szCs w:val="24"/>
          <w:lang w:val="es-HN"/>
        </w:rPr>
      </w:pPr>
    </w:p>
    <w:p w:rsidR="004D4B75" w:rsidRPr="00AF2D87" w:rsidRDefault="00C52B33" w:rsidP="00C52B33">
      <w:pPr>
        <w:pStyle w:val="Prrafodelista"/>
        <w:numPr>
          <w:ilvl w:val="0"/>
          <w:numId w:val="5"/>
        </w:numPr>
        <w:spacing w:after="0" w:line="240" w:lineRule="auto"/>
        <w:jc w:val="both"/>
        <w:rPr>
          <w:rFonts w:ascii="Century Gothic" w:hAnsi="Century Gothic" w:cs="Times New Roman"/>
          <w:b/>
          <w:sz w:val="24"/>
          <w:szCs w:val="24"/>
          <w:lang w:val="es-HN"/>
        </w:rPr>
      </w:pPr>
      <w:r w:rsidRPr="00AF2D87">
        <w:rPr>
          <w:rFonts w:ascii="Century Gothic" w:hAnsi="Century Gothic" w:cs="Times New Roman"/>
          <w:b/>
          <w:sz w:val="24"/>
          <w:szCs w:val="24"/>
          <w:lang w:val="es-HN"/>
        </w:rPr>
        <w:t>HALLAZGOS:</w:t>
      </w:r>
    </w:p>
    <w:p w:rsidR="004D4B75" w:rsidRPr="00AF2D87" w:rsidRDefault="004D4B75" w:rsidP="004D4B75">
      <w:pPr>
        <w:spacing w:after="0" w:line="240" w:lineRule="auto"/>
        <w:jc w:val="both"/>
        <w:rPr>
          <w:rFonts w:ascii="Century Gothic" w:hAnsi="Century Gothic" w:cs="Times New Roman"/>
          <w:b/>
          <w:sz w:val="24"/>
          <w:szCs w:val="24"/>
          <w:lang w:val="es-HN"/>
        </w:rPr>
      </w:pPr>
    </w:p>
    <w:p w:rsidR="004D4B75" w:rsidRPr="00AF2D87" w:rsidRDefault="004D4B75" w:rsidP="004D4B75">
      <w:pPr>
        <w:pStyle w:val="Prrafodelista"/>
        <w:numPr>
          <w:ilvl w:val="0"/>
          <w:numId w:val="2"/>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El liderazgo observado en la dirección de los albergues entrevistados denotó la ausencia de coordinación interinstitucional, desde su montaje así como su operatividad. Los líderes políticos y comunitarios prevalecen y la autoridad competente se ve reducida y ausente en su rol coordinador. La coordinación de los CODEL y CODEM son claves. Por Ley, los CODELES y CODEM, en coordinación con COPECO, deben operar los albergues.</w:t>
      </w:r>
    </w:p>
    <w:p w:rsidR="00EC173E" w:rsidRPr="00AF2D87" w:rsidRDefault="00EC173E" w:rsidP="00EC173E">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2"/>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De los 187 albergues, cinco no contaban con nombramiento oficial de coordinadores</w:t>
      </w:r>
      <w:r w:rsidR="00AF2D87" w:rsidRPr="00AF2D87">
        <w:rPr>
          <w:rFonts w:ascii="Century Gothic" w:hAnsi="Century Gothic" w:cs="Times New Roman"/>
          <w:sz w:val="24"/>
          <w:szCs w:val="24"/>
          <w:lang w:val="es-HN"/>
        </w:rPr>
        <w:t xml:space="preserve"> responsables de los mismos</w:t>
      </w:r>
      <w:r w:rsidRPr="00AF2D87">
        <w:rPr>
          <w:rFonts w:ascii="Century Gothic" w:hAnsi="Century Gothic" w:cs="Times New Roman"/>
          <w:sz w:val="24"/>
          <w:szCs w:val="24"/>
          <w:lang w:val="es-HN"/>
        </w:rPr>
        <w:t xml:space="preserve">.  La Escuela Héctor Danilo Moya, de </w:t>
      </w:r>
      <w:proofErr w:type="spellStart"/>
      <w:r w:rsidRPr="00AF2D87">
        <w:rPr>
          <w:rFonts w:ascii="Century Gothic" w:hAnsi="Century Gothic" w:cs="Times New Roman"/>
          <w:sz w:val="24"/>
          <w:szCs w:val="24"/>
          <w:lang w:val="es-HN"/>
        </w:rPr>
        <w:t>Olanchito</w:t>
      </w:r>
      <w:proofErr w:type="spellEnd"/>
      <w:r w:rsidRPr="00AF2D87">
        <w:rPr>
          <w:rFonts w:ascii="Century Gothic" w:hAnsi="Century Gothic" w:cs="Times New Roman"/>
          <w:sz w:val="24"/>
          <w:szCs w:val="24"/>
          <w:lang w:val="es-HN"/>
        </w:rPr>
        <w:t xml:space="preserve">, Yoro; El </w:t>
      </w:r>
      <w:proofErr w:type="spellStart"/>
      <w:r w:rsidRPr="00AF2D87">
        <w:rPr>
          <w:rFonts w:ascii="Century Gothic" w:hAnsi="Century Gothic" w:cs="Times New Roman"/>
          <w:sz w:val="24"/>
          <w:szCs w:val="24"/>
          <w:lang w:val="es-HN"/>
        </w:rPr>
        <w:t>Higuerito</w:t>
      </w:r>
      <w:proofErr w:type="spellEnd"/>
      <w:r w:rsidRPr="00AF2D87">
        <w:rPr>
          <w:rFonts w:ascii="Century Gothic" w:hAnsi="Century Gothic" w:cs="Times New Roman"/>
          <w:sz w:val="24"/>
          <w:szCs w:val="24"/>
          <w:lang w:val="es-HN"/>
        </w:rPr>
        <w:t xml:space="preserve">, El Porvenir #1, de Danlí, El Paraíso y el </w:t>
      </w:r>
      <w:proofErr w:type="spellStart"/>
      <w:r w:rsidRPr="00AF2D87">
        <w:rPr>
          <w:rFonts w:ascii="Century Gothic" w:hAnsi="Century Gothic" w:cs="Times New Roman"/>
          <w:sz w:val="24"/>
          <w:szCs w:val="24"/>
          <w:lang w:val="es-HN"/>
        </w:rPr>
        <w:t>Kinder</w:t>
      </w:r>
      <w:proofErr w:type="spellEnd"/>
      <w:r w:rsidRPr="00AF2D87">
        <w:rPr>
          <w:rFonts w:ascii="Century Gothic" w:hAnsi="Century Gothic" w:cs="Times New Roman"/>
          <w:sz w:val="24"/>
          <w:szCs w:val="24"/>
          <w:lang w:val="es-HN"/>
        </w:rPr>
        <w:t xml:space="preserve"> Arca de </w:t>
      </w:r>
      <w:proofErr w:type="spellStart"/>
      <w:r w:rsidRPr="00AF2D87">
        <w:rPr>
          <w:rFonts w:ascii="Century Gothic" w:hAnsi="Century Gothic" w:cs="Times New Roman"/>
          <w:sz w:val="24"/>
          <w:szCs w:val="24"/>
          <w:lang w:val="es-HN"/>
        </w:rPr>
        <w:t>Noe</w:t>
      </w:r>
      <w:proofErr w:type="spellEnd"/>
      <w:r w:rsidRPr="00AF2D87">
        <w:rPr>
          <w:rFonts w:ascii="Century Gothic" w:hAnsi="Century Gothic" w:cs="Times New Roman"/>
          <w:sz w:val="24"/>
          <w:szCs w:val="24"/>
          <w:lang w:val="es-HN"/>
        </w:rPr>
        <w:t xml:space="preserve">,  de la Colonia Villa Nueva en el Distrito Central, eran dirigidos por una ama de casa; el C.E.B. Tesoro Infantil de </w:t>
      </w:r>
      <w:proofErr w:type="spellStart"/>
      <w:r w:rsidRPr="00AF2D87">
        <w:rPr>
          <w:rFonts w:ascii="Century Gothic" w:hAnsi="Century Gothic" w:cs="Times New Roman"/>
          <w:sz w:val="24"/>
          <w:szCs w:val="24"/>
          <w:lang w:val="es-HN"/>
        </w:rPr>
        <w:t>Tocoa</w:t>
      </w:r>
      <w:proofErr w:type="spellEnd"/>
      <w:r w:rsidRPr="00AF2D87">
        <w:rPr>
          <w:rFonts w:ascii="Century Gothic" w:hAnsi="Century Gothic" w:cs="Times New Roman"/>
          <w:sz w:val="24"/>
          <w:szCs w:val="24"/>
          <w:lang w:val="es-HN"/>
        </w:rPr>
        <w:t xml:space="preserve">, Colón, fue coordinado por una persona albergada y en </w:t>
      </w:r>
      <w:proofErr w:type="spellStart"/>
      <w:r w:rsidRPr="00AF2D87">
        <w:rPr>
          <w:rFonts w:ascii="Century Gothic" w:hAnsi="Century Gothic" w:cs="Times New Roman"/>
          <w:sz w:val="24"/>
          <w:szCs w:val="24"/>
          <w:lang w:val="es-HN"/>
        </w:rPr>
        <w:t>Cucuyagua</w:t>
      </w:r>
      <w:proofErr w:type="spellEnd"/>
      <w:r w:rsidRPr="00AF2D87">
        <w:rPr>
          <w:rFonts w:ascii="Century Gothic" w:hAnsi="Century Gothic" w:cs="Times New Roman"/>
          <w:sz w:val="24"/>
          <w:szCs w:val="24"/>
          <w:lang w:val="es-HN"/>
        </w:rPr>
        <w:t>, un albergue encabezado por un padre de familia.</w:t>
      </w:r>
    </w:p>
    <w:p w:rsidR="00EC173E" w:rsidRPr="00AF2D87" w:rsidRDefault="00EC173E" w:rsidP="00EC173E">
      <w:pPr>
        <w:pStyle w:val="Prrafodelista"/>
        <w:rPr>
          <w:rFonts w:ascii="Century Gothic" w:hAnsi="Century Gothic" w:cs="Times New Roman"/>
          <w:sz w:val="24"/>
          <w:szCs w:val="24"/>
          <w:lang w:val="es-HN"/>
        </w:rPr>
      </w:pPr>
    </w:p>
    <w:p w:rsidR="00EC173E" w:rsidRPr="00AF2D87" w:rsidRDefault="00EC173E" w:rsidP="00EC173E">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2"/>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 xml:space="preserve">El levantamiento y verificación de información de familias que realmente estén en condición de damnificados por parte de la autoridad competente es </w:t>
      </w:r>
      <w:r w:rsidRPr="00AF2D87">
        <w:rPr>
          <w:rFonts w:ascii="Century Gothic" w:hAnsi="Century Gothic" w:cs="Times New Roman"/>
          <w:sz w:val="24"/>
          <w:szCs w:val="24"/>
          <w:lang w:val="es-HN"/>
        </w:rPr>
        <w:lastRenderedPageBreak/>
        <w:t xml:space="preserve">determinante.  La Evaluación de Daños y Análisis de Necesidades (EDAN) se vuelve un instrumento fiable aplicado por el CODEL o CODEM, en este mismo sentido. </w:t>
      </w: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3"/>
        </w:numPr>
        <w:spacing w:after="0" w:line="240" w:lineRule="auto"/>
        <w:jc w:val="both"/>
        <w:rPr>
          <w:rFonts w:ascii="Century Gothic" w:hAnsi="Century Gothic" w:cs="Times New Roman"/>
          <w:b/>
          <w:sz w:val="24"/>
          <w:szCs w:val="24"/>
          <w:lang w:val="es-HN"/>
        </w:rPr>
      </w:pPr>
      <w:r w:rsidRPr="00AF2D87">
        <w:rPr>
          <w:rFonts w:ascii="Century Gothic" w:hAnsi="Century Gothic" w:cs="Times New Roman"/>
          <w:b/>
          <w:sz w:val="24"/>
          <w:szCs w:val="24"/>
          <w:lang w:val="es-HN"/>
        </w:rPr>
        <w:t>Disponibilidad de agua para consumo humano:</w:t>
      </w:r>
    </w:p>
    <w:p w:rsidR="004D4B75" w:rsidRPr="00AF2D87" w:rsidRDefault="004D4B75" w:rsidP="004D4B75">
      <w:pPr>
        <w:pStyle w:val="Prrafodelista"/>
        <w:spacing w:after="0" w:line="240" w:lineRule="auto"/>
        <w:ind w:left="1080"/>
        <w:jc w:val="both"/>
        <w:rPr>
          <w:rFonts w:ascii="Century Gothic" w:hAnsi="Century Gothic" w:cs="Times New Roman"/>
          <w:b/>
          <w:sz w:val="24"/>
          <w:szCs w:val="24"/>
          <w:lang w:val="es-HN"/>
        </w:rPr>
      </w:pP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De una muestra de 97 albergues, 40 Centros escolares e institutos habilitados no contaban con agua para consumo humano. 96 albergues recibieron donaciones de agua en botella o en bolsa.  Los demás albergues cuentan con agua de llave y no filtros de agua  que garantizan agua para consumo humano, para evitar enfermedades gastrointestinales.</w:t>
      </w:r>
      <w:r w:rsidRPr="00AF2D87">
        <w:rPr>
          <w:rFonts w:ascii="Century Gothic" w:hAnsi="Century Gothic" w:cs="Times New Roman"/>
          <w:sz w:val="24"/>
          <w:szCs w:val="24"/>
        </w:rPr>
        <w:t xml:space="preserve"> </w:t>
      </w: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3"/>
        </w:numPr>
        <w:spacing w:after="0" w:line="240" w:lineRule="auto"/>
        <w:jc w:val="both"/>
        <w:rPr>
          <w:rFonts w:ascii="Century Gothic" w:hAnsi="Century Gothic" w:cs="Times New Roman"/>
          <w:b/>
          <w:sz w:val="24"/>
          <w:szCs w:val="24"/>
          <w:lang w:val="es-HN"/>
        </w:rPr>
      </w:pPr>
      <w:r w:rsidRPr="00AF2D87">
        <w:rPr>
          <w:rFonts w:ascii="Century Gothic" w:hAnsi="Century Gothic" w:cs="Times New Roman"/>
          <w:b/>
          <w:sz w:val="24"/>
          <w:szCs w:val="24"/>
          <w:lang w:val="es-HN"/>
        </w:rPr>
        <w:t>Agua, Saneamiento e Higiene:</w:t>
      </w:r>
    </w:p>
    <w:p w:rsidR="004D4B75" w:rsidRPr="00AF2D87" w:rsidRDefault="004D4B75" w:rsidP="004D4B75">
      <w:pPr>
        <w:pStyle w:val="Prrafodelista"/>
        <w:spacing w:after="0" w:line="240" w:lineRule="auto"/>
        <w:ind w:left="1080"/>
        <w:jc w:val="both"/>
        <w:rPr>
          <w:rFonts w:ascii="Century Gothic" w:hAnsi="Century Gothic" w:cs="Times New Roman"/>
          <w:b/>
          <w:sz w:val="24"/>
          <w:szCs w:val="24"/>
          <w:lang w:val="es-HN"/>
        </w:rPr>
      </w:pP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 xml:space="preserve"> En  gran mayoría los albergues habilitados en centros educativos  no cuentan con tanques de almacenamiento de agua, ni tampoco de una red de distribución de agua funcionando adecuadamente; por lo tanto, el sistema hidrosanitario observado es limitado.</w:t>
      </w:r>
      <w:r w:rsidRPr="00AF2D87">
        <w:rPr>
          <w:rFonts w:ascii="Century Gothic" w:hAnsi="Century Gothic" w:cs="Times New Roman"/>
          <w:sz w:val="24"/>
          <w:szCs w:val="24"/>
        </w:rPr>
        <w:t xml:space="preserve"> </w:t>
      </w: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3"/>
        </w:numPr>
        <w:spacing w:after="0" w:line="240" w:lineRule="auto"/>
        <w:jc w:val="both"/>
        <w:rPr>
          <w:rFonts w:ascii="Century Gothic" w:hAnsi="Century Gothic" w:cs="Times New Roman"/>
          <w:b/>
          <w:sz w:val="24"/>
          <w:szCs w:val="24"/>
          <w:lang w:val="es-HN"/>
        </w:rPr>
      </w:pPr>
      <w:r w:rsidRPr="00AF2D87">
        <w:rPr>
          <w:rFonts w:ascii="Century Gothic" w:hAnsi="Century Gothic" w:cs="Times New Roman"/>
          <w:b/>
          <w:sz w:val="24"/>
          <w:szCs w:val="24"/>
          <w:lang w:val="es-HN"/>
        </w:rPr>
        <w:t>Atención médica y psicológica en los albergues:</w:t>
      </w:r>
    </w:p>
    <w:p w:rsidR="004D4B75" w:rsidRPr="00AF2D87" w:rsidRDefault="004D4B75" w:rsidP="004D4B75">
      <w:pPr>
        <w:pStyle w:val="Prrafodelista"/>
        <w:spacing w:after="0" w:line="240" w:lineRule="auto"/>
        <w:ind w:left="1080"/>
        <w:jc w:val="both"/>
        <w:rPr>
          <w:rFonts w:ascii="Century Gothic" w:hAnsi="Century Gothic" w:cs="Times New Roman"/>
          <w:b/>
          <w:sz w:val="24"/>
          <w:szCs w:val="24"/>
          <w:lang w:val="es-HN"/>
        </w:rPr>
      </w:pP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En 97 albergues, las personas albergadas no habían sido evaluadas por  personal médico, tomando en cuenta la incidencia de las enfermedades gastrointestinales, piel, dengue y sobre todo COVID-19.</w:t>
      </w: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3"/>
        </w:numPr>
        <w:spacing w:after="0" w:line="240" w:lineRule="auto"/>
        <w:jc w:val="both"/>
        <w:rPr>
          <w:rFonts w:ascii="Century Gothic" w:hAnsi="Century Gothic" w:cs="Times New Roman"/>
          <w:b/>
          <w:sz w:val="24"/>
          <w:szCs w:val="24"/>
          <w:lang w:val="es-HN"/>
        </w:rPr>
      </w:pPr>
      <w:r w:rsidRPr="00AF2D87">
        <w:rPr>
          <w:rFonts w:ascii="Century Gothic" w:hAnsi="Century Gothic" w:cs="Times New Roman"/>
          <w:b/>
          <w:sz w:val="24"/>
          <w:szCs w:val="24"/>
          <w:lang w:val="es-HN"/>
        </w:rPr>
        <w:t>Seguridad y Vigilancia:</w:t>
      </w:r>
    </w:p>
    <w:p w:rsidR="004D4B75" w:rsidRPr="00AF2D87" w:rsidRDefault="004D4B75" w:rsidP="004D4B75">
      <w:pPr>
        <w:pStyle w:val="Prrafodelista"/>
        <w:spacing w:after="0" w:line="240" w:lineRule="auto"/>
        <w:ind w:left="1080"/>
        <w:jc w:val="both"/>
        <w:rPr>
          <w:rFonts w:ascii="Century Gothic" w:hAnsi="Century Gothic" w:cs="Times New Roman"/>
          <w:b/>
          <w:sz w:val="24"/>
          <w:szCs w:val="24"/>
          <w:lang w:val="es-HN"/>
        </w:rPr>
      </w:pP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 xml:space="preserve">Los albergues contaban con  la vigilancia de las Fuerzas Armadas (FFAA), acompañados de  líderes comunitarios, que lograban reducir conflictos ante  la influencia de activistas políticas o personas oportunistas que intentaban registrar a familiares y allegados como personas en condición de damnificados   </w:t>
      </w: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3"/>
        </w:numPr>
        <w:spacing w:after="0" w:line="240" w:lineRule="auto"/>
        <w:jc w:val="both"/>
        <w:rPr>
          <w:rFonts w:ascii="Century Gothic" w:hAnsi="Century Gothic" w:cs="Times New Roman"/>
          <w:b/>
          <w:sz w:val="24"/>
          <w:szCs w:val="24"/>
          <w:lang w:val="es-HN"/>
        </w:rPr>
      </w:pPr>
      <w:r w:rsidRPr="00AF2D87">
        <w:rPr>
          <w:rFonts w:ascii="Century Gothic" w:hAnsi="Century Gothic" w:cs="Times New Roman"/>
          <w:b/>
          <w:sz w:val="24"/>
          <w:szCs w:val="24"/>
          <w:lang w:val="es-HN"/>
        </w:rPr>
        <w:t>Seguridad Alimentaria:</w:t>
      </w:r>
    </w:p>
    <w:p w:rsidR="004D4B75" w:rsidRPr="00AF2D87" w:rsidRDefault="004D4B75" w:rsidP="004D4B75">
      <w:pPr>
        <w:pStyle w:val="Prrafodelista"/>
        <w:spacing w:after="0" w:line="240" w:lineRule="auto"/>
        <w:ind w:left="1080"/>
        <w:jc w:val="both"/>
        <w:rPr>
          <w:rFonts w:ascii="Century Gothic" w:hAnsi="Century Gothic" w:cs="Times New Roman"/>
          <w:b/>
          <w:sz w:val="24"/>
          <w:szCs w:val="24"/>
          <w:lang w:val="es-HN"/>
        </w:rPr>
      </w:pP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No fue posible el levantamiento de inventario de insumos y donaciones, en los albergues, elemento necesario para ordenar la asignación real y sobre la base de necesidades, de víveres, agua, ropa, entre otros que requerían.</w:t>
      </w:r>
    </w:p>
    <w:p w:rsidR="00EC173E" w:rsidRPr="00AF2D87" w:rsidRDefault="00EC173E" w:rsidP="00EC173E">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 xml:space="preserve">Si bien es cierto la población se avocó solidariamente a entregar sus donativos, fue evidente la falta de coordinación que no permitió el acceso en igualdad de condiciones a los bienes entregados en los albergues. </w:t>
      </w:r>
    </w:p>
    <w:p w:rsidR="00EC173E" w:rsidRPr="00AF2D87" w:rsidRDefault="00EC173E" w:rsidP="00EC173E">
      <w:pPr>
        <w:pStyle w:val="Prrafodelista"/>
        <w:rPr>
          <w:rFonts w:ascii="Century Gothic" w:hAnsi="Century Gothic" w:cs="Times New Roman"/>
          <w:sz w:val="24"/>
          <w:szCs w:val="24"/>
          <w:lang w:val="es-HN"/>
        </w:rPr>
      </w:pP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A pesar de la disponibilidad de algunos insumos para cocinar (ya sea de manera familiar y/o en comunidad dentro de los albergues), la falta de un almacén de acopio de granos y de disponibilidad de utensilios para cocinar con énfasis en eco fogones, estufas, entre otros, obstaculizó que los albergados pudieran organizar y atender la alimentación, de manera directa.</w:t>
      </w:r>
    </w:p>
    <w:p w:rsidR="00EC173E" w:rsidRPr="00AF2D87" w:rsidRDefault="00EC173E" w:rsidP="00EC173E">
      <w:pPr>
        <w:pStyle w:val="Prrafodelista"/>
        <w:rPr>
          <w:rFonts w:ascii="Century Gothic" w:hAnsi="Century Gothic" w:cs="Times New Roman"/>
          <w:sz w:val="24"/>
          <w:szCs w:val="24"/>
          <w:lang w:val="es-HN"/>
        </w:rPr>
      </w:pP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Durante los primeros cinco (5) días de la veeduría, en los albergues, los damnificados manifestaron recibir hasta cinco (5) tiempos de comida provenientes de iglesias, familias caritativas y políticos a título personal;  las autoridades de gobierno no eran reconocidas como proveedores de insumos y víveres.  La provisión abundante de alimentos fue disminuyendo en la medida avanzaban la estadía en el albergue, los alimentos y víveres era asumida por el Gobierno, en sus diferentes manifestaciones.</w:t>
      </w:r>
    </w:p>
    <w:p w:rsidR="004D4B75" w:rsidRPr="00AF2D87" w:rsidRDefault="004D4B75" w:rsidP="004D4B75">
      <w:pPr>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 xml:space="preserve"> </w:t>
      </w:r>
    </w:p>
    <w:p w:rsidR="004D4B75" w:rsidRPr="00AF2D87" w:rsidRDefault="004D4B75" w:rsidP="004D4B75">
      <w:pPr>
        <w:pStyle w:val="Prrafodelista"/>
        <w:numPr>
          <w:ilvl w:val="0"/>
          <w:numId w:val="3"/>
        </w:numPr>
        <w:spacing w:after="0" w:line="240" w:lineRule="auto"/>
        <w:jc w:val="both"/>
        <w:rPr>
          <w:rFonts w:ascii="Century Gothic" w:hAnsi="Century Gothic" w:cs="Times New Roman"/>
          <w:b/>
          <w:sz w:val="24"/>
          <w:szCs w:val="24"/>
          <w:lang w:val="es-HN"/>
        </w:rPr>
      </w:pPr>
      <w:r w:rsidRPr="00AF2D87">
        <w:rPr>
          <w:rFonts w:ascii="Century Gothic" w:hAnsi="Century Gothic" w:cs="Times New Roman"/>
          <w:b/>
          <w:sz w:val="24"/>
          <w:szCs w:val="24"/>
          <w:lang w:val="es-HN"/>
        </w:rPr>
        <w:t>Bioseguridad y Contención Contagio COVID 19:</w:t>
      </w:r>
    </w:p>
    <w:p w:rsidR="004D4B75" w:rsidRPr="00AF2D87" w:rsidRDefault="004D4B75" w:rsidP="004D4B75">
      <w:pPr>
        <w:pStyle w:val="Prrafodelista"/>
        <w:spacing w:after="0" w:line="240" w:lineRule="auto"/>
        <w:jc w:val="both"/>
        <w:rPr>
          <w:rFonts w:ascii="Century Gothic" w:hAnsi="Century Gothic" w:cs="Times New Roman"/>
          <w:b/>
          <w:sz w:val="24"/>
          <w:szCs w:val="24"/>
          <w:lang w:val="es-HN"/>
        </w:rPr>
      </w:pP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 xml:space="preserve">La falta de distanciamiento social entre familias y el hacinamiento en las aulas de las escuelas fue una constante en los albergues visitados, a pesar de la disponibilidad de mascarillas y espacio en otras aulas, no fueron utilizadas.   </w:t>
      </w: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 xml:space="preserve">De las personas entrevistadas nueve (9) de cada diez (10) no usaban mascarilla, ni tenían gel </w:t>
      </w:r>
      <w:proofErr w:type="spellStart"/>
      <w:r w:rsidRPr="00AF2D87">
        <w:rPr>
          <w:rFonts w:ascii="Century Gothic" w:hAnsi="Century Gothic" w:cs="Times New Roman"/>
          <w:sz w:val="24"/>
          <w:szCs w:val="24"/>
          <w:lang w:val="es-HN"/>
        </w:rPr>
        <w:t>antibacterial</w:t>
      </w:r>
      <w:proofErr w:type="spellEnd"/>
      <w:r w:rsidRPr="00AF2D87">
        <w:rPr>
          <w:rFonts w:ascii="Century Gothic" w:hAnsi="Century Gothic" w:cs="Times New Roman"/>
          <w:sz w:val="24"/>
          <w:szCs w:val="24"/>
          <w:lang w:val="es-HN"/>
        </w:rPr>
        <w:t>, lo cual daba señales de baja sensibilidad al riego y contagio al COVID 19.</w:t>
      </w:r>
    </w:p>
    <w:p w:rsidR="004D4B75" w:rsidRPr="00AF2D87" w:rsidRDefault="004D4B75" w:rsidP="004D4B75">
      <w:pPr>
        <w:pStyle w:val="Prrafodelista"/>
        <w:numPr>
          <w:ilvl w:val="0"/>
          <w:numId w:val="1"/>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El mismo hacinamiento reprodujo posibles conflictos sociales, que pueden ser disimulados al crear distanciamiento social; los análisis sobre las condiciones de atención de los niños y niñas, adolescentes y adultos mayores no están presentes.  De hecho, el diseño de actividades de recreación acorde a estos grupos poblacionales fue una necesidad.</w:t>
      </w: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4D4B75" w:rsidRPr="00AF2D87" w:rsidRDefault="00584E69" w:rsidP="00584E69">
      <w:pPr>
        <w:pStyle w:val="Prrafodelista"/>
        <w:numPr>
          <w:ilvl w:val="0"/>
          <w:numId w:val="5"/>
        </w:numPr>
        <w:spacing w:after="0" w:line="240" w:lineRule="auto"/>
        <w:jc w:val="both"/>
        <w:rPr>
          <w:rFonts w:ascii="Century Gothic" w:hAnsi="Century Gothic" w:cs="Times New Roman"/>
          <w:b/>
          <w:sz w:val="24"/>
          <w:szCs w:val="24"/>
          <w:lang w:val="es-HN"/>
        </w:rPr>
      </w:pPr>
      <w:r w:rsidRPr="00AF2D87">
        <w:rPr>
          <w:rFonts w:ascii="Century Gothic" w:hAnsi="Century Gothic" w:cs="Times New Roman"/>
          <w:b/>
          <w:sz w:val="24"/>
          <w:szCs w:val="24"/>
          <w:lang w:val="es-HN"/>
        </w:rPr>
        <w:t>RECOMENDACIONES:</w:t>
      </w:r>
    </w:p>
    <w:p w:rsidR="004D4B75" w:rsidRPr="00AF2D87" w:rsidRDefault="004D4B75" w:rsidP="004D4B75">
      <w:pPr>
        <w:spacing w:after="0" w:line="240" w:lineRule="auto"/>
        <w:jc w:val="both"/>
        <w:rPr>
          <w:rFonts w:ascii="Century Gothic" w:hAnsi="Century Gothic" w:cs="Times New Roman"/>
          <w:b/>
          <w:sz w:val="24"/>
          <w:szCs w:val="24"/>
          <w:lang w:val="es-HN"/>
        </w:rPr>
      </w:pPr>
    </w:p>
    <w:p w:rsidR="004D4B75" w:rsidRPr="00AF2D87" w:rsidRDefault="004D4B75" w:rsidP="004D4B75">
      <w:pPr>
        <w:pStyle w:val="Prrafodelista"/>
        <w:numPr>
          <w:ilvl w:val="0"/>
          <w:numId w:val="2"/>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 xml:space="preserve">Se hace necesario la certificación de condición de damnificados a  aquella  población que realmente es declarada  por la autoridad competente, se identificó que no hay certeza ni garantía de un dato exacto y viable que permita identificar y certificar quienes han perdido totalmente sus viviendas y que no tienen donde retornar, así como de aquellas que parcialmente sufrieron daños y previamente fueron evacuadas. </w:t>
      </w:r>
    </w:p>
    <w:p w:rsidR="00EC173E" w:rsidRPr="00AF2D87" w:rsidRDefault="00EC173E" w:rsidP="00EC173E">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2"/>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La aplicación de la guía técnica de A</w:t>
      </w:r>
      <w:r w:rsidRPr="00AF2D87">
        <w:rPr>
          <w:rFonts w:ascii="Century Gothic" w:hAnsi="Century Gothic" w:cs="Times New Roman"/>
          <w:i/>
          <w:sz w:val="24"/>
          <w:szCs w:val="24"/>
          <w:lang w:val="es-HN"/>
        </w:rPr>
        <w:t xml:space="preserve">dministración de Albergues Temporales de Emergencias, </w:t>
      </w:r>
      <w:r w:rsidRPr="00AF2D87">
        <w:rPr>
          <w:rFonts w:ascii="Century Gothic" w:hAnsi="Century Gothic" w:cs="Times New Roman"/>
          <w:sz w:val="24"/>
          <w:szCs w:val="24"/>
          <w:lang w:val="es-HN"/>
        </w:rPr>
        <w:t xml:space="preserve">publicado en el 2010 por la Secretaría de Salud y la Organización Panamericana de la Salud (OPS), debe ser implementada.  El mismo tiene el propósito de facilitar la atención de salud en los albergues temporales.  Además, explica cómo deben funcionar el área de salud en los albergues sobre todo con la prevención que se sebe de tener con la Pandemia  del COVID-19, y otras enfermedades que ocasionan a las personas el haber estado expuestos a aguas contaminadas por las inundaciones de sus comunidades. </w:t>
      </w:r>
    </w:p>
    <w:p w:rsidR="00C52B33" w:rsidRPr="00AF2D87" w:rsidRDefault="00C52B33" w:rsidP="00C52B33">
      <w:pPr>
        <w:pStyle w:val="Prrafodelista"/>
        <w:rPr>
          <w:rFonts w:ascii="Century Gothic" w:hAnsi="Century Gothic" w:cs="Times New Roman"/>
          <w:sz w:val="24"/>
          <w:szCs w:val="24"/>
          <w:lang w:val="es-HN"/>
        </w:rPr>
      </w:pPr>
    </w:p>
    <w:p w:rsidR="004D4B75" w:rsidRPr="00AF2D87" w:rsidRDefault="004D4B75" w:rsidP="004D4B75">
      <w:pPr>
        <w:pStyle w:val="Prrafodelista"/>
        <w:numPr>
          <w:ilvl w:val="0"/>
          <w:numId w:val="2"/>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El conocimiento de protocolos y liderazgo de las autoridades vinculadas al albergue es determinante e ideal en el manejo del centro.</w:t>
      </w:r>
    </w:p>
    <w:p w:rsidR="00EC173E" w:rsidRPr="00AF2D87" w:rsidRDefault="00EC173E" w:rsidP="00EC173E">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numPr>
          <w:ilvl w:val="0"/>
          <w:numId w:val="2"/>
        </w:numPr>
        <w:spacing w:after="0" w:line="240" w:lineRule="auto"/>
        <w:jc w:val="both"/>
        <w:rPr>
          <w:rFonts w:ascii="Century Gothic" w:hAnsi="Century Gothic" w:cs="Times New Roman"/>
          <w:sz w:val="24"/>
          <w:szCs w:val="24"/>
          <w:lang w:val="es-HN"/>
        </w:rPr>
      </w:pPr>
      <w:r w:rsidRPr="00AF2D87">
        <w:rPr>
          <w:rFonts w:ascii="Century Gothic" w:hAnsi="Century Gothic" w:cs="Times New Roman"/>
          <w:sz w:val="24"/>
          <w:szCs w:val="24"/>
          <w:lang w:val="es-HN"/>
        </w:rPr>
        <w:t xml:space="preserve">Es necesario el aseguramiento de condiciones hidrosanitarias (disponibilidad de agua, baños o urinarios, jabón y utensilios de limpieza) para conseguir no sólo la higiene sino también reducir el impacto del COVID-19.  Lo anterior implica la organización del albergue en término de la asignación de roles entre las familias para asegurar áreas limpias y agradables. </w:t>
      </w:r>
    </w:p>
    <w:p w:rsidR="004D4B75" w:rsidRDefault="004D4B75"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Default="00AF2D87" w:rsidP="004D4B75">
      <w:pPr>
        <w:pStyle w:val="Prrafodelista"/>
        <w:spacing w:after="0" w:line="240" w:lineRule="auto"/>
        <w:jc w:val="both"/>
        <w:rPr>
          <w:rFonts w:ascii="Century Gothic" w:hAnsi="Century Gothic" w:cs="Times New Roman"/>
          <w:sz w:val="24"/>
          <w:szCs w:val="24"/>
          <w:lang w:val="es-HN"/>
        </w:rPr>
      </w:pPr>
    </w:p>
    <w:p w:rsidR="00AF2D87" w:rsidRPr="00AF2D87" w:rsidRDefault="00AF2D87" w:rsidP="004D4B75">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4D4B75" w:rsidRPr="00AF2D87" w:rsidRDefault="00584E69" w:rsidP="00584E69">
      <w:pPr>
        <w:pStyle w:val="Prrafodelista"/>
        <w:numPr>
          <w:ilvl w:val="0"/>
          <w:numId w:val="5"/>
        </w:numPr>
        <w:spacing w:after="0" w:line="240" w:lineRule="auto"/>
        <w:jc w:val="both"/>
        <w:rPr>
          <w:rFonts w:ascii="Century Gothic" w:hAnsi="Century Gothic" w:cs="Times New Roman"/>
          <w:b/>
          <w:sz w:val="24"/>
          <w:szCs w:val="24"/>
          <w:lang w:val="es-HN"/>
        </w:rPr>
      </w:pPr>
      <w:r w:rsidRPr="00AF2D87">
        <w:rPr>
          <w:rFonts w:ascii="Century Gothic" w:hAnsi="Century Gothic" w:cs="Times New Roman"/>
          <w:b/>
          <w:sz w:val="24"/>
          <w:szCs w:val="24"/>
          <w:lang w:val="es-HN"/>
        </w:rPr>
        <w:t>ANEXOS FOTOGRAFICOS</w:t>
      </w: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4D4B75" w:rsidRPr="00AF2D87" w:rsidRDefault="004D4B75" w:rsidP="004D4B75">
      <w:pPr>
        <w:pStyle w:val="Prrafodelista"/>
        <w:spacing w:after="0" w:line="240" w:lineRule="auto"/>
        <w:jc w:val="both"/>
        <w:rPr>
          <w:rFonts w:ascii="Century Gothic" w:hAnsi="Century Gothic" w:cs="Times New Roman"/>
          <w:sz w:val="24"/>
          <w:szCs w:val="24"/>
          <w:lang w:val="es-HN"/>
        </w:rPr>
      </w:pPr>
    </w:p>
    <w:p w:rsidR="00616373" w:rsidRPr="00AF2D87" w:rsidRDefault="00616373" w:rsidP="00EC173E">
      <w:pPr>
        <w:jc w:val="center"/>
        <w:rPr>
          <w:rFonts w:ascii="Century Gothic" w:hAnsi="Century Gothic" w:cs="Times New Roman"/>
          <w:sz w:val="24"/>
          <w:szCs w:val="24"/>
          <w:lang w:val="es-HN"/>
        </w:rPr>
      </w:pPr>
      <w:r w:rsidRPr="00AF2D87">
        <w:rPr>
          <w:rFonts w:ascii="Century Gothic" w:hAnsi="Century Gothic" w:cs="Times New Roman"/>
          <w:noProof/>
          <w:sz w:val="24"/>
          <w:szCs w:val="24"/>
          <w:lang w:val="es-HN" w:eastAsia="es-HN"/>
        </w:rPr>
        <w:drawing>
          <wp:inline distT="0" distB="0" distL="0" distR="0" wp14:anchorId="6DBB77D4" wp14:editId="74BC9774">
            <wp:extent cx="5429557" cy="2638425"/>
            <wp:effectExtent l="0" t="0" r="0" b="0"/>
            <wp:docPr id="8196" name="Picture 4" descr="Imagen">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B8A399FD-3DB1-4790-B4E7-94F28B4D4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Imagen">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B8A399FD-3DB1-4790-B4E7-94F28B4D484E}"/>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40410" cy="2643699"/>
                    </a:xfrm>
                    <a:prstGeom prst="rect">
                      <a:avLst/>
                    </a:prstGeom>
                    <a:ln>
                      <a:noFill/>
                    </a:ln>
                    <a:effectLst>
                      <a:softEdge rad="112500"/>
                    </a:effectLst>
                    <a:extLst/>
                  </pic:spPr>
                </pic:pic>
              </a:graphicData>
            </a:graphic>
          </wp:inline>
        </w:drawing>
      </w:r>
      <w:r w:rsidRPr="00AF2D87">
        <w:rPr>
          <w:rFonts w:ascii="Century Gothic" w:hAnsi="Century Gothic" w:cs="Times New Roman"/>
          <w:sz w:val="24"/>
          <w:szCs w:val="24"/>
          <w:lang w:val="es-HN"/>
        </w:rPr>
        <w:t xml:space="preserve"> </w:t>
      </w:r>
    </w:p>
    <w:p w:rsidR="00616373" w:rsidRPr="00AF2D87" w:rsidRDefault="00616373" w:rsidP="00EC173E">
      <w:pPr>
        <w:jc w:val="center"/>
        <w:rPr>
          <w:rFonts w:ascii="Century Gothic" w:hAnsi="Century Gothic" w:cs="Times New Roman"/>
          <w:sz w:val="24"/>
          <w:szCs w:val="24"/>
          <w:lang w:val="es-HN"/>
        </w:rPr>
      </w:pPr>
    </w:p>
    <w:p w:rsidR="00616373" w:rsidRPr="00AF2D87" w:rsidRDefault="00616373" w:rsidP="00EC173E">
      <w:pPr>
        <w:jc w:val="center"/>
        <w:rPr>
          <w:rFonts w:ascii="Century Gothic" w:hAnsi="Century Gothic" w:cs="Times New Roman"/>
          <w:sz w:val="24"/>
          <w:szCs w:val="24"/>
          <w:lang w:val="es-HN"/>
        </w:rPr>
      </w:pPr>
    </w:p>
    <w:p w:rsidR="00616373" w:rsidRPr="00AF2D87" w:rsidRDefault="00616373" w:rsidP="00EC173E">
      <w:pPr>
        <w:jc w:val="center"/>
        <w:rPr>
          <w:rFonts w:ascii="Century Gothic" w:hAnsi="Century Gothic" w:cs="Times New Roman"/>
          <w:sz w:val="24"/>
          <w:szCs w:val="24"/>
          <w:lang w:val="es-HN"/>
        </w:rPr>
      </w:pPr>
    </w:p>
    <w:p w:rsidR="00C52B33" w:rsidRPr="00AF2D87" w:rsidRDefault="00616373" w:rsidP="00EC173E">
      <w:pPr>
        <w:jc w:val="center"/>
        <w:rPr>
          <w:rFonts w:ascii="Century Gothic" w:hAnsi="Century Gothic" w:cs="Times New Roman"/>
          <w:sz w:val="24"/>
          <w:szCs w:val="24"/>
          <w:lang w:val="es-HN"/>
        </w:rPr>
      </w:pPr>
      <w:r w:rsidRPr="00AF2D87">
        <w:rPr>
          <w:rFonts w:ascii="Century Gothic" w:hAnsi="Century Gothic" w:cs="Times New Roman"/>
          <w:noProof/>
          <w:sz w:val="24"/>
          <w:szCs w:val="24"/>
          <w:lang w:val="es-HN" w:eastAsia="es-HN"/>
        </w:rPr>
        <w:drawing>
          <wp:inline distT="0" distB="0" distL="0" distR="0" wp14:anchorId="1C73793E" wp14:editId="1826C5D9">
            <wp:extent cx="5213943" cy="2533650"/>
            <wp:effectExtent l="0" t="0" r="6350" b="0"/>
            <wp:docPr id="8194" name="Picture 2" descr="Imagen">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5E02255C-436B-4752-90F4-EC99596D820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Imagen">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5E02255C-436B-4752-90F4-EC99596D820D}"/>
                        </a:ext>
                      </a:extLst>
                    </pic:cNvPr>
                    <pic:cNvPicPr>
                      <a:picLocks noGrp="1"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30173" cy="2541537"/>
                    </a:xfrm>
                    <a:prstGeom prst="rect">
                      <a:avLst/>
                    </a:prstGeom>
                    <a:ln>
                      <a:noFill/>
                    </a:ln>
                    <a:effectLst>
                      <a:softEdge rad="112500"/>
                    </a:effectLst>
                    <a:extLst/>
                  </pic:spPr>
                </pic:pic>
              </a:graphicData>
            </a:graphic>
          </wp:inline>
        </w:drawing>
      </w:r>
      <w:r w:rsidRPr="00AF2D87">
        <w:rPr>
          <w:rFonts w:ascii="Century Gothic" w:hAnsi="Century Gothic" w:cs="Times New Roman"/>
          <w:sz w:val="24"/>
          <w:szCs w:val="24"/>
          <w:lang w:val="es-HN"/>
        </w:rPr>
        <w:t xml:space="preserve"> </w:t>
      </w:r>
    </w:p>
    <w:p w:rsidR="00C52B33" w:rsidRPr="00AF2D87" w:rsidRDefault="00C52B33" w:rsidP="00EC173E">
      <w:pPr>
        <w:jc w:val="center"/>
        <w:rPr>
          <w:rFonts w:ascii="Century Gothic" w:hAnsi="Century Gothic" w:cs="Times New Roman"/>
          <w:sz w:val="24"/>
          <w:szCs w:val="24"/>
          <w:lang w:val="es-HN"/>
        </w:rPr>
      </w:pPr>
    </w:p>
    <w:p w:rsidR="00C52B33" w:rsidRPr="00AF2D87" w:rsidRDefault="00C52B33" w:rsidP="00EC173E">
      <w:pPr>
        <w:jc w:val="center"/>
        <w:rPr>
          <w:rFonts w:ascii="Century Gothic" w:hAnsi="Century Gothic" w:cs="Times New Roman"/>
          <w:sz w:val="24"/>
          <w:szCs w:val="24"/>
          <w:lang w:val="es-HN"/>
        </w:rPr>
      </w:pPr>
    </w:p>
    <w:p w:rsidR="00EC173E" w:rsidRPr="00AF2D87" w:rsidRDefault="00C52B33" w:rsidP="00EC173E">
      <w:pPr>
        <w:jc w:val="center"/>
        <w:rPr>
          <w:rFonts w:ascii="Century Gothic" w:hAnsi="Century Gothic"/>
          <w:b/>
          <w:sz w:val="24"/>
          <w:szCs w:val="24"/>
        </w:rPr>
      </w:pPr>
      <w:r w:rsidRPr="00AF2D87">
        <w:rPr>
          <w:rFonts w:ascii="Century Gothic" w:hAnsi="Century Gothic"/>
          <w:noProof/>
          <w:sz w:val="24"/>
          <w:szCs w:val="24"/>
          <w:lang w:val="es-HN" w:eastAsia="es-HN"/>
        </w:rPr>
        <w:drawing>
          <wp:inline distT="0" distB="0" distL="0" distR="0" wp14:anchorId="3F6EA72D" wp14:editId="131034CE">
            <wp:extent cx="5910115" cy="4438650"/>
            <wp:effectExtent l="0" t="0" r="0" b="0"/>
            <wp:docPr id="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0"/>
                    <a:stretch>
                      <a:fillRect/>
                    </a:stretch>
                  </pic:blipFill>
                  <pic:spPr>
                    <a:xfrm>
                      <a:off x="0" y="0"/>
                      <a:ext cx="5913108" cy="4440898"/>
                    </a:xfrm>
                    <a:prstGeom prst="rect">
                      <a:avLst/>
                    </a:prstGeom>
                    <a:ln>
                      <a:noFill/>
                    </a:ln>
                    <a:effectLst>
                      <a:softEdge rad="112500"/>
                    </a:effectLst>
                  </pic:spPr>
                </pic:pic>
              </a:graphicData>
            </a:graphic>
          </wp:inline>
        </w:drawing>
      </w:r>
      <w:r w:rsidR="004D4B75" w:rsidRPr="00AF2D87">
        <w:rPr>
          <w:rFonts w:ascii="Century Gothic" w:hAnsi="Century Gothic" w:cs="Times New Roman"/>
          <w:sz w:val="24"/>
          <w:szCs w:val="24"/>
          <w:lang w:val="es-HN"/>
        </w:rPr>
        <w:br w:type="page"/>
      </w:r>
    </w:p>
    <w:p w:rsidR="00EC173E" w:rsidRPr="00AF2D87" w:rsidRDefault="00EC173E" w:rsidP="00EC173E">
      <w:pPr>
        <w:jc w:val="center"/>
        <w:rPr>
          <w:rFonts w:ascii="Century Gothic" w:hAnsi="Century Gothic"/>
          <w:b/>
          <w:sz w:val="24"/>
          <w:szCs w:val="24"/>
        </w:rPr>
      </w:pPr>
      <w:r w:rsidRPr="00AF2D87">
        <w:rPr>
          <w:rFonts w:ascii="Century Gothic" w:hAnsi="Century Gothic"/>
          <w:b/>
          <w:sz w:val="24"/>
          <w:szCs w:val="24"/>
        </w:rPr>
        <w:t xml:space="preserve">VEEDURIA SOCIAL A LOS ALBERGUES Y ATENCION </w:t>
      </w:r>
    </w:p>
    <w:p w:rsidR="00EC173E" w:rsidRPr="00AF2D87" w:rsidRDefault="00EC173E" w:rsidP="00EC173E">
      <w:pPr>
        <w:jc w:val="center"/>
        <w:rPr>
          <w:rFonts w:ascii="Century Gothic" w:hAnsi="Century Gothic"/>
          <w:b/>
          <w:sz w:val="24"/>
          <w:szCs w:val="24"/>
        </w:rPr>
      </w:pPr>
      <w:r w:rsidRPr="00AF2D87">
        <w:rPr>
          <w:rFonts w:ascii="Century Gothic" w:hAnsi="Century Gothic"/>
          <w:b/>
          <w:sz w:val="24"/>
          <w:szCs w:val="24"/>
        </w:rPr>
        <w:t>A  DAMNIFICADOS ETA E IOTA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6"/>
        <w:gridCol w:w="3075"/>
        <w:gridCol w:w="3073"/>
      </w:tblGrid>
      <w:tr w:rsidR="00EC173E" w:rsidRPr="00AF2D87" w:rsidTr="00A94237">
        <w:trPr>
          <w:trHeight w:val="300"/>
          <w:jc w:val="center"/>
        </w:trPr>
        <w:tc>
          <w:tcPr>
            <w:tcW w:w="1381" w:type="pct"/>
            <w:shd w:val="clear" w:color="auto" w:fill="5B9BD5" w:themeFill="accent1"/>
            <w:vAlign w:val="center"/>
            <w:hideMark/>
          </w:tcPr>
          <w:p w:rsidR="00EC173E" w:rsidRPr="00AF2D87" w:rsidRDefault="003E69D5" w:rsidP="003E69D5">
            <w:pPr>
              <w:spacing w:after="0" w:line="240" w:lineRule="auto"/>
              <w:jc w:val="center"/>
              <w:rPr>
                <w:rFonts w:ascii="Century Gothic" w:eastAsia="Times New Roman" w:hAnsi="Century Gothic" w:cs="Calibri"/>
                <w:b/>
                <w:bCs/>
                <w:sz w:val="24"/>
                <w:szCs w:val="24"/>
                <w:lang w:eastAsia="es-HN"/>
              </w:rPr>
            </w:pPr>
            <w:r w:rsidRPr="00AF2D87">
              <w:rPr>
                <w:rFonts w:ascii="Century Gothic" w:eastAsia="Times New Roman" w:hAnsi="Century Gothic" w:cs="Calibri"/>
                <w:b/>
                <w:bCs/>
                <w:sz w:val="24"/>
                <w:szCs w:val="24"/>
                <w:lang w:eastAsia="es-HN"/>
              </w:rPr>
              <w:t>DEPARTAMENTO</w:t>
            </w:r>
          </w:p>
        </w:tc>
        <w:tc>
          <w:tcPr>
            <w:tcW w:w="1810" w:type="pct"/>
            <w:shd w:val="clear" w:color="auto" w:fill="5B9BD5" w:themeFill="accent1"/>
          </w:tcPr>
          <w:p w:rsidR="00EC173E" w:rsidRPr="00AF2D87" w:rsidRDefault="003E69D5" w:rsidP="003E69D5">
            <w:pPr>
              <w:spacing w:after="0" w:line="240" w:lineRule="auto"/>
              <w:jc w:val="center"/>
              <w:rPr>
                <w:rFonts w:ascii="Century Gothic" w:eastAsia="Times New Roman" w:hAnsi="Century Gothic" w:cs="Calibri"/>
                <w:b/>
                <w:bCs/>
                <w:sz w:val="24"/>
                <w:szCs w:val="24"/>
                <w:lang w:eastAsia="es-HN"/>
              </w:rPr>
            </w:pPr>
            <w:r w:rsidRPr="00AF2D87">
              <w:rPr>
                <w:rFonts w:ascii="Century Gothic" w:eastAsia="Times New Roman" w:hAnsi="Century Gothic" w:cs="Calibri"/>
                <w:b/>
                <w:bCs/>
                <w:sz w:val="24"/>
                <w:szCs w:val="24"/>
                <w:lang w:eastAsia="es-HN"/>
              </w:rPr>
              <w:t>NO. DE FICHAS APLICADAS</w:t>
            </w:r>
          </w:p>
        </w:tc>
        <w:tc>
          <w:tcPr>
            <w:tcW w:w="1809" w:type="pct"/>
            <w:shd w:val="clear" w:color="auto" w:fill="5B9BD5" w:themeFill="accent1"/>
            <w:vAlign w:val="center"/>
            <w:hideMark/>
          </w:tcPr>
          <w:p w:rsidR="00EC173E" w:rsidRPr="00AF2D87" w:rsidRDefault="003E69D5" w:rsidP="003E69D5">
            <w:pPr>
              <w:spacing w:after="0" w:line="240" w:lineRule="auto"/>
              <w:jc w:val="center"/>
              <w:rPr>
                <w:rFonts w:ascii="Century Gothic" w:eastAsia="Times New Roman" w:hAnsi="Century Gothic" w:cs="Calibri"/>
                <w:b/>
                <w:bCs/>
                <w:sz w:val="24"/>
                <w:szCs w:val="24"/>
                <w:lang w:eastAsia="es-HN"/>
              </w:rPr>
            </w:pPr>
            <w:r w:rsidRPr="00AF2D87">
              <w:rPr>
                <w:rFonts w:ascii="Century Gothic" w:eastAsia="Times New Roman" w:hAnsi="Century Gothic" w:cs="Calibri"/>
                <w:b/>
                <w:bCs/>
                <w:sz w:val="24"/>
                <w:szCs w:val="24"/>
                <w:lang w:eastAsia="es-HN"/>
              </w:rPr>
              <w:t>MUNICIPIOS</w:t>
            </w:r>
          </w:p>
          <w:p w:rsidR="00EC173E" w:rsidRPr="00AF2D87" w:rsidRDefault="003E69D5" w:rsidP="003E69D5">
            <w:pPr>
              <w:spacing w:after="0" w:line="240" w:lineRule="auto"/>
              <w:jc w:val="center"/>
              <w:rPr>
                <w:rFonts w:ascii="Century Gothic" w:eastAsia="Times New Roman" w:hAnsi="Century Gothic" w:cs="Calibri"/>
                <w:b/>
                <w:bCs/>
                <w:sz w:val="24"/>
                <w:szCs w:val="24"/>
                <w:lang w:eastAsia="es-HN"/>
              </w:rPr>
            </w:pPr>
            <w:r w:rsidRPr="00AF2D87">
              <w:rPr>
                <w:rFonts w:ascii="Century Gothic" w:eastAsia="Times New Roman" w:hAnsi="Century Gothic" w:cs="Calibri"/>
                <w:b/>
                <w:bCs/>
                <w:sz w:val="24"/>
                <w:szCs w:val="24"/>
                <w:lang w:eastAsia="es-HN"/>
              </w:rPr>
              <w:t>INTERVENIDOS</w:t>
            </w:r>
          </w:p>
        </w:tc>
      </w:tr>
      <w:tr w:rsidR="00EC173E" w:rsidRPr="00AF2D87" w:rsidTr="00A94237">
        <w:trPr>
          <w:trHeight w:val="300"/>
          <w:jc w:val="center"/>
        </w:trPr>
        <w:tc>
          <w:tcPr>
            <w:tcW w:w="1381" w:type="pct"/>
            <w:vMerge w:val="restar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Atlántida</w:t>
            </w:r>
          </w:p>
        </w:tc>
        <w:tc>
          <w:tcPr>
            <w:tcW w:w="1810" w:type="pct"/>
            <w:vMerge w:val="restar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13</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Tela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La Ceiba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 xml:space="preserve">La </w:t>
            </w:r>
            <w:proofErr w:type="spellStart"/>
            <w:r w:rsidRPr="00AF2D87">
              <w:rPr>
                <w:rFonts w:ascii="Century Gothic" w:eastAsia="Times New Roman" w:hAnsi="Century Gothic" w:cs="Calibri"/>
                <w:color w:val="000000"/>
                <w:sz w:val="24"/>
                <w:szCs w:val="24"/>
                <w:lang w:eastAsia="es-HN"/>
              </w:rPr>
              <w:t>Masica</w:t>
            </w:r>
            <w:proofErr w:type="spellEnd"/>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Esparta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Jutiapa</w:t>
            </w:r>
          </w:p>
        </w:tc>
      </w:tr>
      <w:tr w:rsidR="00EC173E" w:rsidRPr="00AF2D87" w:rsidTr="00A94237">
        <w:trPr>
          <w:trHeight w:val="300"/>
          <w:jc w:val="center"/>
        </w:trPr>
        <w:tc>
          <w:tcPr>
            <w:tcW w:w="1381" w:type="pct"/>
            <w:vMerge w:val="restar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Choluteca</w:t>
            </w:r>
          </w:p>
        </w:tc>
        <w:tc>
          <w:tcPr>
            <w:tcW w:w="1810" w:type="pct"/>
            <w:vMerge w:val="restar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11</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Concepción De María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El Corpus</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proofErr w:type="spellStart"/>
            <w:r w:rsidRPr="00AF2D87">
              <w:rPr>
                <w:rFonts w:ascii="Century Gothic" w:eastAsia="Times New Roman" w:hAnsi="Century Gothic" w:cs="Calibri"/>
                <w:color w:val="000000"/>
                <w:sz w:val="24"/>
                <w:szCs w:val="24"/>
                <w:lang w:eastAsia="es-HN"/>
              </w:rPr>
              <w:t>Marcovia</w:t>
            </w:r>
            <w:proofErr w:type="spellEnd"/>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Choluteca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proofErr w:type="spellStart"/>
            <w:r w:rsidRPr="00AF2D87">
              <w:rPr>
                <w:rFonts w:ascii="Century Gothic" w:eastAsia="Times New Roman" w:hAnsi="Century Gothic" w:cs="Calibri"/>
                <w:color w:val="000000"/>
                <w:sz w:val="24"/>
                <w:szCs w:val="24"/>
                <w:lang w:eastAsia="es-HN"/>
              </w:rPr>
              <w:t>Pespire</w:t>
            </w:r>
            <w:proofErr w:type="spellEnd"/>
          </w:p>
        </w:tc>
      </w:tr>
      <w:tr w:rsidR="00EC173E" w:rsidRPr="00AF2D87" w:rsidTr="00A94237">
        <w:trPr>
          <w:trHeight w:val="300"/>
          <w:jc w:val="center"/>
        </w:trPr>
        <w:tc>
          <w:tcPr>
            <w:tcW w:w="1381" w:type="pct"/>
            <w:vMerge w:val="restar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Colón</w:t>
            </w:r>
          </w:p>
        </w:tc>
        <w:tc>
          <w:tcPr>
            <w:tcW w:w="1810" w:type="pct"/>
            <w:vMerge w:val="restar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3</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proofErr w:type="spellStart"/>
            <w:r w:rsidRPr="00AF2D87">
              <w:rPr>
                <w:rFonts w:ascii="Century Gothic" w:eastAsia="Times New Roman" w:hAnsi="Century Gothic" w:cs="Calibri"/>
                <w:color w:val="000000"/>
                <w:sz w:val="24"/>
                <w:szCs w:val="24"/>
                <w:lang w:eastAsia="es-HN"/>
              </w:rPr>
              <w:t>Saba</w:t>
            </w:r>
            <w:proofErr w:type="spellEnd"/>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proofErr w:type="spellStart"/>
            <w:r w:rsidRPr="00AF2D87">
              <w:rPr>
                <w:rFonts w:ascii="Century Gothic" w:eastAsia="Times New Roman" w:hAnsi="Century Gothic" w:cs="Calibri"/>
                <w:color w:val="000000"/>
                <w:sz w:val="24"/>
                <w:szCs w:val="24"/>
                <w:lang w:eastAsia="es-HN"/>
              </w:rPr>
              <w:t>Tocoa</w:t>
            </w:r>
            <w:proofErr w:type="spellEnd"/>
          </w:p>
        </w:tc>
      </w:tr>
      <w:tr w:rsidR="00EC173E" w:rsidRPr="00AF2D87" w:rsidTr="00A94237">
        <w:trPr>
          <w:trHeight w:val="300"/>
          <w:jc w:val="center"/>
        </w:trPr>
        <w:tc>
          <w:tcPr>
            <w:tcW w:w="1381" w:type="pc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Comayagua</w:t>
            </w:r>
          </w:p>
        </w:tc>
        <w:tc>
          <w:tcPr>
            <w:tcW w:w="1810" w:type="pc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2</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Comayagua</w:t>
            </w:r>
          </w:p>
        </w:tc>
      </w:tr>
      <w:tr w:rsidR="00EC173E" w:rsidRPr="00AF2D87" w:rsidTr="00A94237">
        <w:trPr>
          <w:trHeight w:val="300"/>
          <w:jc w:val="center"/>
        </w:trPr>
        <w:tc>
          <w:tcPr>
            <w:tcW w:w="1381" w:type="pct"/>
            <w:vMerge w:val="restar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Copan</w:t>
            </w:r>
          </w:p>
        </w:tc>
        <w:tc>
          <w:tcPr>
            <w:tcW w:w="1810" w:type="pct"/>
            <w:vMerge w:val="restar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6</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proofErr w:type="spellStart"/>
            <w:r w:rsidRPr="00AF2D87">
              <w:rPr>
                <w:rFonts w:ascii="Century Gothic" w:eastAsia="Times New Roman" w:hAnsi="Century Gothic" w:cs="Calibri"/>
                <w:color w:val="000000"/>
                <w:sz w:val="24"/>
                <w:szCs w:val="24"/>
                <w:lang w:eastAsia="es-HN"/>
              </w:rPr>
              <w:t>Cucuyagua</w:t>
            </w:r>
            <w:proofErr w:type="spellEnd"/>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Florida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Trinidad De Copán</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Dulce Nombre</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San Pedro</w:t>
            </w:r>
          </w:p>
        </w:tc>
      </w:tr>
      <w:tr w:rsidR="00EC173E" w:rsidRPr="00AF2D87" w:rsidTr="00A94237">
        <w:trPr>
          <w:trHeight w:val="300"/>
          <w:jc w:val="center"/>
        </w:trPr>
        <w:tc>
          <w:tcPr>
            <w:tcW w:w="1381" w:type="pct"/>
            <w:vMerge w:val="restar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El Paraíso</w:t>
            </w:r>
          </w:p>
        </w:tc>
        <w:tc>
          <w:tcPr>
            <w:tcW w:w="1810" w:type="pct"/>
            <w:vMerge w:val="restar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11</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Trojes</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Danlí</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El Paraíso</w:t>
            </w:r>
          </w:p>
        </w:tc>
      </w:tr>
      <w:tr w:rsidR="00EC173E" w:rsidRPr="00AF2D87" w:rsidTr="00A94237">
        <w:trPr>
          <w:trHeight w:val="300"/>
          <w:jc w:val="center"/>
        </w:trPr>
        <w:tc>
          <w:tcPr>
            <w:tcW w:w="1381" w:type="pct"/>
            <w:vMerge w:val="restar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Cortés</w:t>
            </w:r>
          </w:p>
        </w:tc>
        <w:tc>
          <w:tcPr>
            <w:tcW w:w="1810" w:type="pct"/>
            <w:vMerge w:val="restar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72</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San Pedro Sula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La Lima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proofErr w:type="spellStart"/>
            <w:r w:rsidRPr="00AF2D87">
              <w:rPr>
                <w:rFonts w:ascii="Century Gothic" w:eastAsia="Times New Roman" w:hAnsi="Century Gothic" w:cs="Calibri"/>
                <w:color w:val="000000"/>
                <w:sz w:val="24"/>
                <w:szCs w:val="24"/>
                <w:lang w:eastAsia="es-HN"/>
              </w:rPr>
              <w:t>Omoa</w:t>
            </w:r>
            <w:proofErr w:type="spellEnd"/>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Puerto Cortés</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La Lima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proofErr w:type="spellStart"/>
            <w:r w:rsidRPr="00AF2D87">
              <w:rPr>
                <w:rFonts w:ascii="Century Gothic" w:eastAsia="Times New Roman" w:hAnsi="Century Gothic" w:cs="Calibri"/>
                <w:color w:val="000000"/>
                <w:sz w:val="24"/>
                <w:szCs w:val="24"/>
                <w:lang w:eastAsia="es-HN"/>
              </w:rPr>
              <w:t>Choloma</w:t>
            </w:r>
            <w:proofErr w:type="spellEnd"/>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San Manuel</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 xml:space="preserve">San Francisco De </w:t>
            </w:r>
            <w:proofErr w:type="spellStart"/>
            <w:r w:rsidRPr="00AF2D87">
              <w:rPr>
                <w:rFonts w:ascii="Century Gothic" w:eastAsia="Times New Roman" w:hAnsi="Century Gothic" w:cs="Calibri"/>
                <w:color w:val="000000"/>
                <w:sz w:val="24"/>
                <w:szCs w:val="24"/>
                <w:lang w:eastAsia="es-HN"/>
              </w:rPr>
              <w:t>Yojoa</w:t>
            </w:r>
            <w:proofErr w:type="spellEnd"/>
          </w:p>
        </w:tc>
      </w:tr>
      <w:tr w:rsidR="00EC173E" w:rsidRPr="00AF2D87" w:rsidTr="00A94237">
        <w:trPr>
          <w:trHeight w:val="300"/>
          <w:jc w:val="center"/>
        </w:trPr>
        <w:tc>
          <w:tcPr>
            <w:tcW w:w="1381" w:type="pc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Francisco Morazán</w:t>
            </w:r>
          </w:p>
        </w:tc>
        <w:tc>
          <w:tcPr>
            <w:tcW w:w="1810" w:type="pc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33</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Distrito Central</w:t>
            </w:r>
          </w:p>
        </w:tc>
      </w:tr>
      <w:tr w:rsidR="00EC173E" w:rsidRPr="00AF2D87" w:rsidTr="00A94237">
        <w:trPr>
          <w:trHeight w:val="300"/>
          <w:jc w:val="center"/>
        </w:trPr>
        <w:tc>
          <w:tcPr>
            <w:tcW w:w="1381" w:type="pct"/>
            <w:vMerge w:val="restar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Intibucá</w:t>
            </w:r>
          </w:p>
        </w:tc>
        <w:tc>
          <w:tcPr>
            <w:tcW w:w="1810" w:type="pct"/>
            <w:vMerge w:val="restar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3</w:t>
            </w:r>
          </w:p>
        </w:tc>
        <w:tc>
          <w:tcPr>
            <w:tcW w:w="1809" w:type="pct"/>
            <w:shd w:val="clear" w:color="auto" w:fill="auto"/>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La Esperanza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auto" w:fill="auto"/>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Intibucá</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auto" w:fill="auto"/>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 xml:space="preserve">San Francisco De </w:t>
            </w:r>
            <w:proofErr w:type="spellStart"/>
            <w:r w:rsidRPr="00AF2D87">
              <w:rPr>
                <w:rFonts w:ascii="Century Gothic" w:eastAsia="Times New Roman" w:hAnsi="Century Gothic" w:cs="Calibri"/>
                <w:color w:val="000000"/>
                <w:sz w:val="24"/>
                <w:szCs w:val="24"/>
                <w:lang w:eastAsia="es-HN"/>
              </w:rPr>
              <w:t>Opalaca</w:t>
            </w:r>
            <w:proofErr w:type="spellEnd"/>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San Miguelito</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Las Flores</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La Unión</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Fraternidad</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San Marcos</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 xml:space="preserve">Belén </w:t>
            </w:r>
            <w:proofErr w:type="spellStart"/>
            <w:r w:rsidRPr="00AF2D87">
              <w:rPr>
                <w:rFonts w:ascii="Century Gothic" w:eastAsia="Times New Roman" w:hAnsi="Century Gothic" w:cs="Calibri"/>
                <w:color w:val="000000"/>
                <w:sz w:val="24"/>
                <w:szCs w:val="24"/>
                <w:lang w:eastAsia="es-HN"/>
              </w:rPr>
              <w:t>Gualcho</w:t>
            </w:r>
            <w:proofErr w:type="spellEnd"/>
          </w:p>
        </w:tc>
      </w:tr>
      <w:tr w:rsidR="00EC173E" w:rsidRPr="00AF2D87" w:rsidTr="00A94237">
        <w:trPr>
          <w:trHeight w:val="300"/>
          <w:jc w:val="center"/>
        </w:trPr>
        <w:tc>
          <w:tcPr>
            <w:tcW w:w="1381" w:type="pct"/>
            <w:vMerge w:val="restar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Olancho</w:t>
            </w:r>
          </w:p>
        </w:tc>
        <w:tc>
          <w:tcPr>
            <w:tcW w:w="1810" w:type="pct"/>
            <w:vMerge w:val="restar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5</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Campamento</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Juticalpa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San Esteban</w:t>
            </w:r>
          </w:p>
        </w:tc>
      </w:tr>
      <w:tr w:rsidR="00EC173E" w:rsidRPr="00AF2D87" w:rsidTr="00A94237">
        <w:trPr>
          <w:trHeight w:val="300"/>
          <w:jc w:val="center"/>
        </w:trPr>
        <w:tc>
          <w:tcPr>
            <w:tcW w:w="1381" w:type="pc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Santa Bárbara</w:t>
            </w:r>
          </w:p>
        </w:tc>
        <w:tc>
          <w:tcPr>
            <w:tcW w:w="1810" w:type="pc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3</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proofErr w:type="spellStart"/>
            <w:r w:rsidRPr="00AF2D87">
              <w:rPr>
                <w:rFonts w:ascii="Century Gothic" w:eastAsia="Times New Roman" w:hAnsi="Century Gothic" w:cs="Calibri"/>
                <w:color w:val="000000"/>
                <w:sz w:val="24"/>
                <w:szCs w:val="24"/>
                <w:lang w:eastAsia="es-HN"/>
              </w:rPr>
              <w:t>Quimistán</w:t>
            </w:r>
            <w:proofErr w:type="spellEnd"/>
          </w:p>
        </w:tc>
      </w:tr>
      <w:tr w:rsidR="00EC173E" w:rsidRPr="00AF2D87" w:rsidTr="00A94237">
        <w:trPr>
          <w:trHeight w:val="300"/>
          <w:jc w:val="center"/>
        </w:trPr>
        <w:tc>
          <w:tcPr>
            <w:tcW w:w="1381" w:type="pct"/>
            <w:vMerge w:val="restart"/>
            <w:shd w:val="clear" w:color="auto" w:fill="auto"/>
            <w:noWrap/>
            <w:vAlign w:val="center"/>
            <w:hideMark/>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Yoro</w:t>
            </w:r>
          </w:p>
        </w:tc>
        <w:tc>
          <w:tcPr>
            <w:tcW w:w="1810" w:type="pct"/>
            <w:vMerge w:val="restart"/>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18</w:t>
            </w: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El Progreso</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Yoro</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Santa Rita</w:t>
            </w:r>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proofErr w:type="spellStart"/>
            <w:r w:rsidRPr="00AF2D87">
              <w:rPr>
                <w:rFonts w:ascii="Century Gothic" w:eastAsia="Times New Roman" w:hAnsi="Century Gothic" w:cs="Calibri"/>
                <w:color w:val="000000"/>
                <w:sz w:val="24"/>
                <w:szCs w:val="24"/>
                <w:lang w:eastAsia="es-HN"/>
              </w:rPr>
              <w:t>Olanchito</w:t>
            </w:r>
            <w:proofErr w:type="spellEnd"/>
          </w:p>
        </w:tc>
      </w:tr>
      <w:tr w:rsidR="00EC173E" w:rsidRPr="00AF2D87" w:rsidTr="00A94237">
        <w:trPr>
          <w:trHeight w:val="300"/>
          <w:jc w:val="center"/>
        </w:trPr>
        <w:tc>
          <w:tcPr>
            <w:tcW w:w="1381" w:type="pct"/>
            <w:vMerge/>
            <w:vAlign w:val="center"/>
            <w:hideMark/>
          </w:tcPr>
          <w:p w:rsidR="00EC173E" w:rsidRPr="00AF2D87" w:rsidRDefault="00EC173E" w:rsidP="00A94237">
            <w:pPr>
              <w:spacing w:after="0" w:line="240" w:lineRule="auto"/>
              <w:rPr>
                <w:rFonts w:ascii="Century Gothic" w:eastAsia="Times New Roman" w:hAnsi="Century Gothic" w:cs="Calibri"/>
                <w:b/>
                <w:color w:val="000000"/>
                <w:sz w:val="24"/>
                <w:szCs w:val="24"/>
                <w:lang w:eastAsia="es-HN"/>
              </w:rPr>
            </w:pPr>
          </w:p>
        </w:tc>
        <w:tc>
          <w:tcPr>
            <w:tcW w:w="1810" w:type="pct"/>
            <w:vMerge/>
            <w:shd w:val="clear" w:color="000000" w:fill="FFFFFF"/>
          </w:tcPr>
          <w:p w:rsidR="00EC173E" w:rsidRPr="00AF2D87" w:rsidRDefault="00EC173E" w:rsidP="00A94237">
            <w:pPr>
              <w:spacing w:after="0" w:line="240" w:lineRule="auto"/>
              <w:jc w:val="center"/>
              <w:rPr>
                <w:rFonts w:ascii="Century Gothic" w:eastAsia="Times New Roman" w:hAnsi="Century Gothic" w:cs="Calibri"/>
                <w:color w:val="000000"/>
                <w:sz w:val="24"/>
                <w:szCs w:val="24"/>
                <w:lang w:eastAsia="es-HN"/>
              </w:rPr>
            </w:pPr>
          </w:p>
        </w:tc>
        <w:tc>
          <w:tcPr>
            <w:tcW w:w="1809" w:type="pct"/>
            <w:shd w:val="clear" w:color="000000" w:fill="FFFFFF"/>
            <w:vAlign w:val="bottom"/>
            <w:hideMark/>
          </w:tcPr>
          <w:p w:rsidR="00EC173E" w:rsidRPr="00AF2D87" w:rsidRDefault="003E69D5" w:rsidP="003E69D5">
            <w:pPr>
              <w:spacing w:after="0" w:line="240" w:lineRule="auto"/>
              <w:rPr>
                <w:rFonts w:ascii="Century Gothic" w:eastAsia="Times New Roman" w:hAnsi="Century Gothic" w:cs="Calibri"/>
                <w:color w:val="000000"/>
                <w:sz w:val="24"/>
                <w:szCs w:val="24"/>
                <w:lang w:eastAsia="es-HN"/>
              </w:rPr>
            </w:pPr>
            <w:r w:rsidRPr="00AF2D87">
              <w:rPr>
                <w:rFonts w:ascii="Century Gothic" w:eastAsia="Times New Roman" w:hAnsi="Century Gothic" w:cs="Calibri"/>
                <w:color w:val="000000"/>
                <w:sz w:val="24"/>
                <w:szCs w:val="24"/>
                <w:lang w:eastAsia="es-HN"/>
              </w:rPr>
              <w:t>Morazán</w:t>
            </w:r>
          </w:p>
        </w:tc>
      </w:tr>
      <w:tr w:rsidR="00EC173E" w:rsidRPr="00AF2D87" w:rsidTr="00A94237">
        <w:trPr>
          <w:trHeight w:val="300"/>
          <w:jc w:val="center"/>
        </w:trPr>
        <w:tc>
          <w:tcPr>
            <w:tcW w:w="1381" w:type="pct"/>
            <w:vAlign w:val="center"/>
          </w:tcPr>
          <w:p w:rsidR="00EC173E" w:rsidRPr="00AF2D87" w:rsidRDefault="003E69D5"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12</w:t>
            </w:r>
          </w:p>
        </w:tc>
        <w:tc>
          <w:tcPr>
            <w:tcW w:w="1810" w:type="pct"/>
            <w:shd w:val="clear" w:color="000000" w:fill="FFFFFF"/>
          </w:tcPr>
          <w:p w:rsidR="00EC173E" w:rsidRPr="00AF2D87" w:rsidRDefault="00EC173E" w:rsidP="00A94237">
            <w:pPr>
              <w:spacing w:after="0" w:line="240" w:lineRule="auto"/>
              <w:jc w:val="center"/>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180</w:t>
            </w:r>
          </w:p>
        </w:tc>
        <w:tc>
          <w:tcPr>
            <w:tcW w:w="1809" w:type="pct"/>
            <w:shd w:val="clear" w:color="000000" w:fill="FFFFFF"/>
            <w:vAlign w:val="bottom"/>
          </w:tcPr>
          <w:p w:rsidR="00EC173E" w:rsidRPr="00AF2D87" w:rsidRDefault="003E69D5" w:rsidP="003E69D5">
            <w:pPr>
              <w:spacing w:after="0" w:line="240" w:lineRule="auto"/>
              <w:rPr>
                <w:rFonts w:ascii="Century Gothic" w:eastAsia="Times New Roman" w:hAnsi="Century Gothic" w:cs="Calibri"/>
                <w:b/>
                <w:color w:val="000000"/>
                <w:sz w:val="24"/>
                <w:szCs w:val="24"/>
                <w:lang w:eastAsia="es-HN"/>
              </w:rPr>
            </w:pPr>
            <w:r w:rsidRPr="00AF2D87">
              <w:rPr>
                <w:rFonts w:ascii="Century Gothic" w:eastAsia="Times New Roman" w:hAnsi="Century Gothic" w:cs="Calibri"/>
                <w:b/>
                <w:color w:val="000000"/>
                <w:sz w:val="24"/>
                <w:szCs w:val="24"/>
                <w:lang w:eastAsia="es-HN"/>
              </w:rPr>
              <w:t>47 Municipios</w:t>
            </w:r>
          </w:p>
        </w:tc>
      </w:tr>
    </w:tbl>
    <w:p w:rsidR="00EC173E" w:rsidRPr="00AF2D87" w:rsidRDefault="00EC173E" w:rsidP="00EC173E">
      <w:pPr>
        <w:rPr>
          <w:rFonts w:ascii="Century Gothic" w:hAnsi="Century Gothic"/>
          <w:sz w:val="24"/>
          <w:szCs w:val="24"/>
        </w:rPr>
      </w:pPr>
    </w:p>
    <w:p w:rsidR="004D4B75" w:rsidRPr="00AF2D87" w:rsidRDefault="004D4B75" w:rsidP="004D4B75">
      <w:pPr>
        <w:rPr>
          <w:rFonts w:ascii="Century Gothic" w:hAnsi="Century Gothic" w:cs="Times New Roman"/>
          <w:sz w:val="24"/>
          <w:szCs w:val="24"/>
          <w:lang w:val="es-HN"/>
        </w:rPr>
      </w:pPr>
    </w:p>
    <w:p w:rsidR="00F42232" w:rsidRPr="00AF2D87" w:rsidRDefault="00F42232">
      <w:pPr>
        <w:rPr>
          <w:rFonts w:ascii="Century Gothic" w:hAnsi="Century Gothic"/>
          <w:sz w:val="24"/>
          <w:szCs w:val="24"/>
        </w:rPr>
      </w:pPr>
    </w:p>
    <w:sectPr w:rsidR="00F42232" w:rsidRPr="00AF2D87" w:rsidSect="00616373">
      <w:pgSz w:w="11906" w:h="16838"/>
      <w:pgMar w:top="1417" w:right="1701" w:bottom="1417" w:left="1701"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AF0352"/>
    <w:multiLevelType w:val="hybridMultilevel"/>
    <w:tmpl w:val="DC16C964"/>
    <w:lvl w:ilvl="0" w:tplc="1C2E6EEC">
      <w:start w:val="1"/>
      <w:numFmt w:val="upperRoman"/>
      <w:lvlText w:val="%1."/>
      <w:lvlJc w:val="left"/>
      <w:pPr>
        <w:ind w:left="1080" w:hanging="72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1" w15:restartNumberingAfterBreak="0">
    <w:nsid w:val="163F1874"/>
    <w:multiLevelType w:val="hybridMultilevel"/>
    <w:tmpl w:val="D7EAB26A"/>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 w15:restartNumberingAfterBreak="0">
    <w:nsid w:val="3B3E0C8E"/>
    <w:multiLevelType w:val="hybridMultilevel"/>
    <w:tmpl w:val="268C3F70"/>
    <w:lvl w:ilvl="0" w:tplc="480A0001">
      <w:start w:val="1"/>
      <w:numFmt w:val="bullet"/>
      <w:lvlText w:val=""/>
      <w:lvlJc w:val="left"/>
      <w:pPr>
        <w:ind w:left="720" w:hanging="360"/>
      </w:pPr>
      <w:rPr>
        <w:rFonts w:ascii="Symbol" w:hAnsi="Symbol" w:cs="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 w15:restartNumberingAfterBreak="0">
    <w:nsid w:val="5D2E6F32"/>
    <w:multiLevelType w:val="hybridMultilevel"/>
    <w:tmpl w:val="9DB60112"/>
    <w:lvl w:ilvl="0" w:tplc="8A509188">
      <w:start w:val="1"/>
      <w:numFmt w:val="bullet"/>
      <w:lvlText w:val=""/>
      <w:lvlJc w:val="left"/>
      <w:pPr>
        <w:ind w:left="1080" w:hanging="360"/>
      </w:pPr>
      <w:rPr>
        <w:rFonts w:ascii="Wingdings" w:hAnsi="Wingdings" w:hint="default"/>
      </w:rPr>
    </w:lvl>
    <w:lvl w:ilvl="1" w:tplc="480A0003" w:tentative="1">
      <w:start w:val="1"/>
      <w:numFmt w:val="bullet"/>
      <w:lvlText w:val="o"/>
      <w:lvlJc w:val="left"/>
      <w:pPr>
        <w:ind w:left="1800" w:hanging="360"/>
      </w:pPr>
      <w:rPr>
        <w:rFonts w:ascii="Courier New" w:hAnsi="Courier New" w:cs="Courier New" w:hint="default"/>
      </w:rPr>
    </w:lvl>
    <w:lvl w:ilvl="2" w:tplc="480A0005" w:tentative="1">
      <w:start w:val="1"/>
      <w:numFmt w:val="bullet"/>
      <w:lvlText w:val=""/>
      <w:lvlJc w:val="left"/>
      <w:pPr>
        <w:ind w:left="2520" w:hanging="360"/>
      </w:pPr>
      <w:rPr>
        <w:rFonts w:ascii="Wingdings" w:hAnsi="Wingdings" w:hint="default"/>
      </w:rPr>
    </w:lvl>
    <w:lvl w:ilvl="3" w:tplc="480A0001" w:tentative="1">
      <w:start w:val="1"/>
      <w:numFmt w:val="bullet"/>
      <w:lvlText w:val=""/>
      <w:lvlJc w:val="left"/>
      <w:pPr>
        <w:ind w:left="3240" w:hanging="360"/>
      </w:pPr>
      <w:rPr>
        <w:rFonts w:ascii="Symbol" w:hAnsi="Symbol" w:hint="default"/>
      </w:rPr>
    </w:lvl>
    <w:lvl w:ilvl="4" w:tplc="480A0003" w:tentative="1">
      <w:start w:val="1"/>
      <w:numFmt w:val="bullet"/>
      <w:lvlText w:val="o"/>
      <w:lvlJc w:val="left"/>
      <w:pPr>
        <w:ind w:left="3960" w:hanging="360"/>
      </w:pPr>
      <w:rPr>
        <w:rFonts w:ascii="Courier New" w:hAnsi="Courier New" w:cs="Courier New" w:hint="default"/>
      </w:rPr>
    </w:lvl>
    <w:lvl w:ilvl="5" w:tplc="480A0005" w:tentative="1">
      <w:start w:val="1"/>
      <w:numFmt w:val="bullet"/>
      <w:lvlText w:val=""/>
      <w:lvlJc w:val="left"/>
      <w:pPr>
        <w:ind w:left="4680" w:hanging="360"/>
      </w:pPr>
      <w:rPr>
        <w:rFonts w:ascii="Wingdings" w:hAnsi="Wingdings" w:hint="default"/>
      </w:rPr>
    </w:lvl>
    <w:lvl w:ilvl="6" w:tplc="480A0001" w:tentative="1">
      <w:start w:val="1"/>
      <w:numFmt w:val="bullet"/>
      <w:lvlText w:val=""/>
      <w:lvlJc w:val="left"/>
      <w:pPr>
        <w:ind w:left="5400" w:hanging="360"/>
      </w:pPr>
      <w:rPr>
        <w:rFonts w:ascii="Symbol" w:hAnsi="Symbol" w:hint="default"/>
      </w:rPr>
    </w:lvl>
    <w:lvl w:ilvl="7" w:tplc="480A0003" w:tentative="1">
      <w:start w:val="1"/>
      <w:numFmt w:val="bullet"/>
      <w:lvlText w:val="o"/>
      <w:lvlJc w:val="left"/>
      <w:pPr>
        <w:ind w:left="6120" w:hanging="360"/>
      </w:pPr>
      <w:rPr>
        <w:rFonts w:ascii="Courier New" w:hAnsi="Courier New" w:cs="Courier New" w:hint="default"/>
      </w:rPr>
    </w:lvl>
    <w:lvl w:ilvl="8" w:tplc="480A0005" w:tentative="1">
      <w:start w:val="1"/>
      <w:numFmt w:val="bullet"/>
      <w:lvlText w:val=""/>
      <w:lvlJc w:val="left"/>
      <w:pPr>
        <w:ind w:left="6840" w:hanging="360"/>
      </w:pPr>
      <w:rPr>
        <w:rFonts w:ascii="Wingdings" w:hAnsi="Wingdings" w:hint="default"/>
      </w:rPr>
    </w:lvl>
  </w:abstractNum>
  <w:abstractNum w:abstractNumId="4" w15:restartNumberingAfterBreak="0">
    <w:nsid w:val="7FBF1E8A"/>
    <w:multiLevelType w:val="hybridMultilevel"/>
    <w:tmpl w:val="172C4A6C"/>
    <w:lvl w:ilvl="0" w:tplc="09ECE89A">
      <w:start w:val="1"/>
      <w:numFmt w:val="upperRoman"/>
      <w:lvlText w:val="%1."/>
      <w:lvlJc w:val="left"/>
      <w:pPr>
        <w:ind w:left="1080" w:hanging="720"/>
      </w:pPr>
      <w:rPr>
        <w:rFonts w:ascii="Times New Roman" w:hAnsi="Times New Roman" w:cs="Times New Roman"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4B75"/>
    <w:rsid w:val="00211AE3"/>
    <w:rsid w:val="003E69D5"/>
    <w:rsid w:val="004D4B75"/>
    <w:rsid w:val="00584E69"/>
    <w:rsid w:val="00616373"/>
    <w:rsid w:val="00AF2D87"/>
    <w:rsid w:val="00C52B33"/>
    <w:rsid w:val="00D24E41"/>
    <w:rsid w:val="00EA7548"/>
    <w:rsid w:val="00EC173E"/>
    <w:rsid w:val="00EF6A5B"/>
    <w:rsid w:val="00F42232"/>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98B1F34-1C08-4566-A2A6-1C74AF802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6373"/>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D4B75"/>
    <w:pPr>
      <w:ind w:left="720"/>
      <w:contextualSpacing/>
    </w:pPr>
  </w:style>
  <w:style w:type="table" w:styleId="Tablaconcuadrcula">
    <w:name w:val="Table Grid"/>
    <w:basedOn w:val="Tablanormal"/>
    <w:uiPriority w:val="39"/>
    <w:rsid w:val="004D4B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616373"/>
    <w:pPr>
      <w:spacing w:after="0" w:line="240" w:lineRule="auto"/>
    </w:pPr>
    <w:rPr>
      <w:rFonts w:eastAsiaTheme="minorEastAsia"/>
      <w:lang w:eastAsia="es-HN"/>
    </w:rPr>
  </w:style>
  <w:style w:type="character" w:customStyle="1" w:styleId="SinespaciadoCar">
    <w:name w:val="Sin espaciado Car"/>
    <w:basedOn w:val="Fuentedeprrafopredeter"/>
    <w:link w:val="Sinespaciado"/>
    <w:uiPriority w:val="1"/>
    <w:rsid w:val="00616373"/>
    <w:rPr>
      <w:rFonts w:eastAsiaTheme="minorEastAsia"/>
      <w:lang w:eastAsia="es-H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wmf"/><Relationship Id="rId11" Type="http://schemas.openxmlformats.org/officeDocument/2006/relationships/fontTable" Target="fontTable.xml"/><Relationship Id="rId5" Type="http://schemas.openxmlformats.org/officeDocument/2006/relationships/image" Target="media/image1.wmf"/><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10</Pages>
  <Words>1627</Words>
  <Characters>8951</Characters>
  <Application>Microsoft Office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
    </vt:vector>
  </TitlesOfParts>
  <Company>Diciembre, 2020</Company>
  <LinksUpToDate>false</LinksUpToDate>
  <CharactersWithSpaces>10557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VEEDURIA SOCIAL ALBERGUES EN ATENCION A DAMNIFICADOS POR FENOMENOS NATURALES ETA E IOTA</dc:title>
  <dc:subject/>
  <dc:creator>Unidad de Veeduría Social</dc:creator>
  <cp:keywords/>
  <dc:description/>
  <cp:lastModifiedBy>Mercy Monroy</cp:lastModifiedBy>
  <cp:revision>3</cp:revision>
  <dcterms:created xsi:type="dcterms:W3CDTF">2022-05-13T06:21:00Z</dcterms:created>
  <dcterms:modified xsi:type="dcterms:W3CDTF">2022-10-20T20:57:00Z</dcterms:modified>
</cp:coreProperties>
</file>